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48" w:rsidRPr="0056757B" w:rsidRDefault="00C76C48" w:rsidP="0056757B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CC0ACE" w:rsidRDefault="00C131EB" w:rsidP="00C131EB">
      <w:pPr>
        <w:spacing w:after="0" w:line="36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Клименко Євгеній Олегович, здобувач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</w:rPr>
        <w:t xml:space="preserve"> за спеціальність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C131E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ютерні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науки</w:t>
      </w:r>
    </w:p>
    <w:p w:rsidR="00C131EB" w:rsidRDefault="00C131EB" w:rsidP="00C131EB">
      <w:pPr>
        <w:spacing w:after="0" w:line="36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Національний університет біоресурсів і природокористування України, Київ</w:t>
      </w:r>
    </w:p>
    <w:p w:rsidR="00C131EB" w:rsidRDefault="00C131EB" w:rsidP="00C131EB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hyperlink r:id="rId5" w:history="1">
        <w:r>
          <w:rPr>
            <w:rStyle w:val="a4"/>
            <w:sz w:val="28"/>
            <w:szCs w:val="28"/>
          </w:rPr>
          <w:t>https://orcid.org/0009-0006-6353-6015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31EB" w:rsidRDefault="00C131EB" w:rsidP="00C131EB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131EB" w:rsidRPr="00C131EB" w:rsidRDefault="00C131EB" w:rsidP="00C131EB">
      <w:pPr>
        <w:spacing w:after="0" w:line="36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EB">
        <w:rPr>
          <w:rFonts w:ascii="Times New Roman" w:hAnsi="Times New Roman" w:cs="Times New Roman"/>
          <w:b/>
          <w:sz w:val="28"/>
          <w:szCs w:val="28"/>
        </w:rPr>
        <w:t>РОЗРОБКА ІНФОРМАЦІЙНИХ СИСТЕМ ПРОГНОЗНОЇ АНАЛІТИКИ УСПІШНОСТІ ЗДОБУВАЧІВ ОСВІТИ</w:t>
      </w:r>
    </w:p>
    <w:p w:rsidR="001E516D" w:rsidRPr="0056757B" w:rsidRDefault="00CC0ACE" w:rsidP="00C13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7B">
        <w:rPr>
          <w:rFonts w:ascii="Times New Roman" w:hAnsi="Times New Roman" w:cs="Times New Roman"/>
          <w:sz w:val="28"/>
          <w:szCs w:val="28"/>
        </w:rPr>
        <w:t xml:space="preserve">Дослідженню </w:t>
      </w:r>
      <w:r w:rsidRPr="0056757B">
        <w:rPr>
          <w:rFonts w:ascii="Times New Roman" w:hAnsi="Times New Roman" w:cs="Times New Roman"/>
          <w:sz w:val="28"/>
          <w:szCs w:val="28"/>
        </w:rPr>
        <w:t>інформаційних систем</w:t>
      </w:r>
      <w:r w:rsidRPr="0056757B">
        <w:rPr>
          <w:rFonts w:ascii="Times New Roman" w:hAnsi="Times New Roman" w:cs="Times New Roman"/>
          <w:sz w:val="28"/>
          <w:szCs w:val="28"/>
        </w:rPr>
        <w:t xml:space="preserve"> прогнозування успішності </w:t>
      </w:r>
      <w:r w:rsidRPr="0056757B">
        <w:rPr>
          <w:rFonts w:ascii="Times New Roman" w:hAnsi="Times New Roman" w:cs="Times New Roman"/>
          <w:sz w:val="28"/>
          <w:szCs w:val="28"/>
        </w:rPr>
        <w:t>здобувачів освіти</w:t>
      </w:r>
      <w:r w:rsidRPr="0056757B">
        <w:rPr>
          <w:rFonts w:ascii="Times New Roman" w:hAnsi="Times New Roman" w:cs="Times New Roman"/>
          <w:sz w:val="28"/>
          <w:szCs w:val="28"/>
        </w:rPr>
        <w:t xml:space="preserve"> у широкому і вузькому розумінні присвячено праці баг</w:t>
      </w:r>
      <w:r w:rsidR="00396A84" w:rsidRPr="0056757B">
        <w:rPr>
          <w:rFonts w:ascii="Times New Roman" w:hAnsi="Times New Roman" w:cs="Times New Roman"/>
          <w:sz w:val="28"/>
          <w:szCs w:val="28"/>
        </w:rPr>
        <w:t>атьох науковців, як українських</w:t>
      </w:r>
      <w:r w:rsidR="00793454" w:rsidRPr="00793454">
        <w:rPr>
          <w:rFonts w:ascii="Times New Roman" w:hAnsi="Times New Roman" w:cs="Times New Roman"/>
          <w:sz w:val="28"/>
          <w:szCs w:val="28"/>
        </w:rPr>
        <w:t xml:space="preserve"> [1]</w:t>
      </w:r>
      <w:r w:rsidR="00396A84" w:rsidRPr="0056757B">
        <w:rPr>
          <w:rFonts w:ascii="Times New Roman" w:hAnsi="Times New Roman" w:cs="Times New Roman"/>
          <w:sz w:val="28"/>
          <w:szCs w:val="28"/>
        </w:rPr>
        <w:t xml:space="preserve"> </w:t>
      </w:r>
      <w:r w:rsidRPr="0056757B">
        <w:rPr>
          <w:rFonts w:ascii="Times New Roman" w:hAnsi="Times New Roman" w:cs="Times New Roman"/>
          <w:sz w:val="28"/>
          <w:szCs w:val="28"/>
        </w:rPr>
        <w:t>так і закордонних</w:t>
      </w:r>
      <w:r w:rsidR="00793454" w:rsidRPr="00793454">
        <w:rPr>
          <w:rFonts w:ascii="Times New Roman" w:hAnsi="Times New Roman" w:cs="Times New Roman"/>
          <w:sz w:val="28"/>
          <w:szCs w:val="28"/>
        </w:rPr>
        <w:t xml:space="preserve"> [2]</w:t>
      </w:r>
      <w:r w:rsidRPr="0056757B">
        <w:rPr>
          <w:rFonts w:ascii="Times New Roman" w:hAnsi="Times New Roman" w:cs="Times New Roman"/>
          <w:sz w:val="28"/>
          <w:szCs w:val="28"/>
        </w:rPr>
        <w:t>.</w:t>
      </w:r>
      <w:r w:rsidR="009136DE" w:rsidRPr="0056757B">
        <w:rPr>
          <w:rFonts w:ascii="Times New Roman" w:hAnsi="Times New Roman" w:cs="Times New Roman"/>
          <w:sz w:val="28"/>
          <w:szCs w:val="28"/>
        </w:rPr>
        <w:t xml:space="preserve"> </w:t>
      </w:r>
      <w:r w:rsidR="001E516D" w:rsidRPr="0056757B">
        <w:rPr>
          <w:rFonts w:ascii="Times New Roman" w:hAnsi="Times New Roman" w:cs="Times New Roman"/>
          <w:sz w:val="28"/>
          <w:szCs w:val="28"/>
        </w:rPr>
        <w:t xml:space="preserve">Поява великих даних в освіті пояснюється щонайменше двома основними тенденціями цифрової ери: по-перше, запис і зберігання інституційних даних у традиційних умовах дедалі більше </w:t>
      </w:r>
      <w:proofErr w:type="spellStart"/>
      <w:r w:rsidR="001E516D" w:rsidRPr="0056757B">
        <w:rPr>
          <w:rFonts w:ascii="Times New Roman" w:hAnsi="Times New Roman" w:cs="Times New Roman"/>
          <w:sz w:val="28"/>
          <w:szCs w:val="28"/>
        </w:rPr>
        <w:t>оцифровуються</w:t>
      </w:r>
      <w:proofErr w:type="spellEnd"/>
      <w:r w:rsidR="001E516D" w:rsidRPr="0056757B">
        <w:rPr>
          <w:rFonts w:ascii="Times New Roman" w:hAnsi="Times New Roman" w:cs="Times New Roman"/>
          <w:sz w:val="28"/>
          <w:szCs w:val="28"/>
        </w:rPr>
        <w:t>, що призводить до величезної кількості стандартизованої інформації про студентів.</w:t>
      </w:r>
      <w:r w:rsidR="00C131EB">
        <w:rPr>
          <w:rFonts w:ascii="Times New Roman" w:hAnsi="Times New Roman" w:cs="Times New Roman"/>
          <w:sz w:val="28"/>
          <w:szCs w:val="28"/>
        </w:rPr>
        <w:t xml:space="preserve"> </w:t>
      </w:r>
      <w:r w:rsidR="001E516D" w:rsidRPr="0056757B">
        <w:rPr>
          <w:rFonts w:ascii="Times New Roman" w:hAnsi="Times New Roman" w:cs="Times New Roman"/>
          <w:sz w:val="28"/>
          <w:szCs w:val="28"/>
        </w:rPr>
        <w:t>По-друге, навчальна поведінка, яку було складно зафіксувати в аудиторіях віч-на-віч, тепер може бути всебічно охоплена системами управління навчанням (</w:t>
      </w:r>
      <w:r w:rsidR="001E516D" w:rsidRPr="0056757B">
        <w:rPr>
          <w:rFonts w:ascii="Times New Roman" w:hAnsi="Times New Roman" w:cs="Times New Roman"/>
          <w:sz w:val="28"/>
          <w:szCs w:val="28"/>
          <w:lang w:val="ru-RU"/>
        </w:rPr>
        <w:t>LMS</w:t>
      </w:r>
      <w:r w:rsidR="001E516D" w:rsidRPr="0056757B">
        <w:rPr>
          <w:rFonts w:ascii="Times New Roman" w:hAnsi="Times New Roman" w:cs="Times New Roman"/>
          <w:sz w:val="28"/>
          <w:szCs w:val="28"/>
        </w:rPr>
        <w:t>).</w:t>
      </w:r>
      <w:r w:rsidR="001E516D" w:rsidRPr="0056757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uk-UA"/>
        </w:rPr>
        <w:t xml:space="preserve"> </w:t>
      </w:r>
      <w:r w:rsidR="001E516D" w:rsidRPr="0056757B">
        <w:rPr>
          <w:rFonts w:ascii="Times New Roman" w:hAnsi="Times New Roman" w:cs="Times New Roman"/>
          <w:sz w:val="28"/>
          <w:szCs w:val="28"/>
        </w:rPr>
        <w:t xml:space="preserve">У процесі функціонування системи електронного навчання кожен користувач залишає в ній так званий "цифровий слід" (інформацію про самого користувача, різні записи в базах даних (про діяльність, про повідомлення, про оцінки тощо), окремі файли та інші дані). Аналіз і формалізація цієї інформації може сприяти розробленню моделі цифрового сліду, використовуючи яку можна розробити оптимальний підхід до формування </w:t>
      </w:r>
      <w:r w:rsidR="00C131EB">
        <w:rPr>
          <w:rFonts w:ascii="Times New Roman" w:hAnsi="Times New Roman" w:cs="Times New Roman"/>
          <w:sz w:val="28"/>
          <w:szCs w:val="28"/>
        </w:rPr>
        <w:t>інформаційної системи прогнозної аналітики успішності студентів з використанням методів інтелектуального аналізу даних</w:t>
      </w:r>
      <w:r w:rsidR="001E516D" w:rsidRPr="0056757B">
        <w:rPr>
          <w:rFonts w:ascii="Times New Roman" w:hAnsi="Times New Roman" w:cs="Times New Roman"/>
          <w:sz w:val="28"/>
          <w:szCs w:val="28"/>
        </w:rPr>
        <w:t xml:space="preserve"> (рис.1) </w:t>
      </w:r>
    </w:p>
    <w:p w:rsidR="001E516D" w:rsidRPr="0056757B" w:rsidRDefault="001E516D" w:rsidP="00C13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7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BEEE831" wp14:editId="1D5E47CC">
            <wp:extent cx="6120765" cy="31184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1EB" w:rsidRPr="00C131EB" w:rsidRDefault="00C131EB" w:rsidP="00C131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1EB">
        <w:rPr>
          <w:rFonts w:ascii="Times New Roman" w:hAnsi="Times New Roman" w:cs="Times New Roman"/>
          <w:b/>
          <w:sz w:val="28"/>
          <w:szCs w:val="28"/>
        </w:rPr>
        <w:t>Рис. 1. Формування інформаційної системи прогнозної аналітики успішності студентів</w:t>
      </w:r>
    </w:p>
    <w:p w:rsidR="00532784" w:rsidRPr="0056757B" w:rsidRDefault="001E516D" w:rsidP="00C13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7B">
        <w:rPr>
          <w:rFonts w:ascii="Times New Roman" w:hAnsi="Times New Roman" w:cs="Times New Roman"/>
          <w:sz w:val="28"/>
          <w:szCs w:val="28"/>
        </w:rPr>
        <w:t xml:space="preserve"> </w:t>
      </w:r>
      <w:r w:rsidR="009136DE" w:rsidRPr="0056757B">
        <w:rPr>
          <w:rFonts w:ascii="Times New Roman" w:hAnsi="Times New Roman" w:cs="Times New Roman"/>
          <w:sz w:val="28"/>
          <w:szCs w:val="28"/>
        </w:rPr>
        <w:t xml:space="preserve">Використання різноманітних цифрових інструментів та платформ для покращення освітнього процесу генерує величезну кількість цифрових слідів учасників освітнього процесу. </w:t>
      </w:r>
      <w:r w:rsidR="00CC0ACE"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Можна </w:t>
      </w:r>
      <w:r w:rsidR="005327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переконливо</w:t>
      </w:r>
      <w:r w:rsidR="00CC0ACE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сказати, що вдосконалення технологій, особливо у сфері штучного інтелекту та аналізу даних, можуть </w:t>
      </w:r>
      <w:r w:rsidR="005327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дати рекомендації для здобувачів освіти як</w:t>
      </w:r>
      <w:r w:rsidR="00CC0ACE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навчатися ефективніше, результативніше та з задоволенням. </w:t>
      </w:r>
      <w:r w:rsidR="00CC0ACE" w:rsidRPr="0056757B">
        <w:rPr>
          <w:rFonts w:ascii="Times New Roman" w:hAnsi="Times New Roman" w:cs="Times New Roman"/>
          <w:color w:val="000000"/>
          <w:sz w:val="28"/>
          <w:szCs w:val="28"/>
        </w:rPr>
        <w:t>Головне завдання закладу</w:t>
      </w:r>
      <w:r w:rsidR="00532784"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="00CC0ACE"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 – випуск якісних випускників. Для досягнення цієї мети заклад повинен контролювати успішність студентів, знаючи якомога більше інформації про студента та надаючи рекомендовані заходи для підтримки </w:t>
      </w:r>
      <w:r w:rsidR="00532784"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належної </w:t>
      </w:r>
      <w:r w:rsidR="00CC0ACE" w:rsidRPr="0056757B">
        <w:rPr>
          <w:rFonts w:ascii="Times New Roman" w:hAnsi="Times New Roman" w:cs="Times New Roman"/>
          <w:color w:val="000000"/>
          <w:sz w:val="28"/>
          <w:szCs w:val="28"/>
        </w:rPr>
        <w:t>успішності</w:t>
      </w:r>
      <w:r w:rsidR="00532784" w:rsidRPr="005675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0ACE" w:rsidRPr="0056757B" w:rsidRDefault="00CC0ACE" w:rsidP="00C131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57B">
        <w:rPr>
          <w:rFonts w:ascii="Times New Roman" w:hAnsi="Times New Roman" w:cs="Times New Roman"/>
          <w:color w:val="000000"/>
          <w:sz w:val="28"/>
          <w:szCs w:val="28"/>
        </w:rPr>
        <w:t>Інтелектуальний</w:t>
      </w:r>
      <w:r w:rsidR="00532784"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 аналіз освітніх даних (EDM) є</w:t>
      </w:r>
      <w:r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 добре відомою сферою досліджень, де дані будуть витягуватися з різних джерел</w:t>
      </w:r>
      <w:r w:rsidR="00532784"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 освітнього середовища навчального закладу</w:t>
      </w:r>
      <w:r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 і пізніше аналізуватися відповідно до </w:t>
      </w:r>
      <w:r w:rsidR="00532784"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розроблених моделей і </w:t>
      </w:r>
      <w:proofErr w:type="spellStart"/>
      <w:r w:rsidR="00532784" w:rsidRPr="0056757B">
        <w:rPr>
          <w:rFonts w:ascii="Times New Roman" w:hAnsi="Times New Roman" w:cs="Times New Roman"/>
          <w:color w:val="000000"/>
          <w:sz w:val="28"/>
          <w:szCs w:val="28"/>
        </w:rPr>
        <w:t>візуалізуватися</w:t>
      </w:r>
      <w:proofErr w:type="spellEnd"/>
      <w:r w:rsidR="00532784"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 в інтерактивні шаблони для різних </w:t>
      </w:r>
      <w:proofErr w:type="spellStart"/>
      <w:r w:rsidR="00532784" w:rsidRPr="0056757B">
        <w:rPr>
          <w:rFonts w:ascii="Times New Roman" w:hAnsi="Times New Roman" w:cs="Times New Roman"/>
          <w:color w:val="000000"/>
          <w:sz w:val="28"/>
          <w:szCs w:val="28"/>
        </w:rPr>
        <w:t>стейкхолдерів</w:t>
      </w:r>
      <w:proofErr w:type="spellEnd"/>
      <w:r w:rsidR="00532784" w:rsidRPr="005675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 Крім того, основною метою EDM є виявлення нових знань і прихованих закономірностей, які існують у студентських даних </w:t>
      </w:r>
      <w:r w:rsidR="00532784" w:rsidRPr="0056757B">
        <w:rPr>
          <w:rFonts w:ascii="Times New Roman" w:hAnsi="Times New Roman" w:cs="Times New Roman"/>
          <w:color w:val="000000"/>
          <w:sz w:val="28"/>
          <w:szCs w:val="28"/>
        </w:rPr>
        <w:t>і можуть впливати на прийняття рішень.</w:t>
      </w:r>
    </w:p>
    <w:p w:rsidR="00CC0ACE" w:rsidRPr="00CC0ACE" w:rsidRDefault="00CC0ACE" w:rsidP="00C131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Численні моделі або методики були запропоновані в різних освітніх контекстах для прогнозування успішності студентів</w:t>
      </w:r>
      <w:r w:rsidR="00721615" w:rsidRPr="007216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[3]</w:t>
      </w:r>
      <w:r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1E516D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Передові методи </w:t>
      </w:r>
      <w:r w:rsidR="001E516D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машинного навчання (ML) можуть передбачати ус</w:t>
      </w:r>
      <w:r w:rsidR="001E516D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пішність студента за </w:t>
      </w:r>
      <w:r w:rsidR="001E516D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ключовими характеристиками на основі академічних, поведінкових та демографічних даних.</w:t>
      </w:r>
      <w:r w:rsidR="001E516D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327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ля </w:t>
      </w:r>
      <w:r w:rsidR="005327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 прогностичного</w:t>
      </w:r>
      <w:r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моделювання </w:t>
      </w:r>
      <w:r w:rsidR="005327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першому кроці </w:t>
      </w:r>
      <w:r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використовується декілька завдан</w:t>
      </w:r>
      <w:r w:rsidR="00396A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ь, а саме класифікація, регресійний аналіз</w:t>
      </w:r>
      <w:r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кластеризація</w:t>
      </w:r>
      <w:proofErr w:type="spellEnd"/>
      <w:r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Серед </w:t>
      </w:r>
      <w:r w:rsidR="005327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поширених </w:t>
      </w:r>
      <w:r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алгоритмів</w:t>
      </w:r>
      <w:r w:rsidR="005327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32784" w:rsidRPr="0056757B">
        <w:rPr>
          <w:rFonts w:ascii="Times New Roman" w:hAnsi="Times New Roman" w:cs="Times New Roman"/>
          <w:color w:val="000000"/>
          <w:sz w:val="28"/>
          <w:szCs w:val="28"/>
        </w:rPr>
        <w:t>EDM</w:t>
      </w:r>
      <w:r w:rsidR="005327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використовуються</w:t>
      </w:r>
      <w:r w:rsidR="00D57AC9" w:rsidRPr="0056757B">
        <w:rPr>
          <w:rFonts w:ascii="Times New Roman" w:hAnsi="Times New Roman" w:cs="Times New Roman"/>
          <w:sz w:val="28"/>
          <w:szCs w:val="28"/>
        </w:rPr>
        <w:t xml:space="preserve"> </w:t>
      </w:r>
      <w:r w:rsidR="00396A84" w:rsidRPr="0056757B">
        <w:rPr>
          <w:rFonts w:ascii="Times New Roman" w:hAnsi="Times New Roman" w:cs="Times New Roman"/>
          <w:sz w:val="28"/>
          <w:szCs w:val="28"/>
        </w:rPr>
        <w:t>дерева рішень (</w:t>
      </w:r>
      <w:proofErr w:type="spellStart"/>
      <w:r w:rsidR="00396A84" w:rsidRPr="0056757B">
        <w:rPr>
          <w:rFonts w:ascii="Times New Roman" w:hAnsi="Times New Roman" w:cs="Times New Roman"/>
          <w:sz w:val="28"/>
          <w:szCs w:val="28"/>
        </w:rPr>
        <w:t>Decision</w:t>
      </w:r>
      <w:proofErr w:type="spellEnd"/>
      <w:r w:rsidR="00396A84" w:rsidRPr="0056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A84" w:rsidRPr="0056757B">
        <w:rPr>
          <w:rFonts w:ascii="Times New Roman" w:hAnsi="Times New Roman" w:cs="Times New Roman"/>
          <w:sz w:val="28"/>
          <w:szCs w:val="28"/>
        </w:rPr>
        <w:t>Tree</w:t>
      </w:r>
      <w:proofErr w:type="spellEnd"/>
      <w:r w:rsidR="00396A84" w:rsidRPr="0056757B">
        <w:rPr>
          <w:rFonts w:ascii="Times New Roman" w:hAnsi="Times New Roman" w:cs="Times New Roman"/>
          <w:sz w:val="28"/>
          <w:szCs w:val="28"/>
        </w:rPr>
        <w:t xml:space="preserve">) , </w:t>
      </w:r>
      <w:proofErr w:type="spellStart"/>
      <w:r w:rsidR="00D57AC9" w:rsidRPr="0056757B">
        <w:rPr>
          <w:rFonts w:ascii="Times New Roman" w:hAnsi="Times New Roman" w:cs="Times New Roman"/>
          <w:sz w:val="28"/>
          <w:szCs w:val="28"/>
        </w:rPr>
        <w:t>Bayesian</w:t>
      </w:r>
      <w:proofErr w:type="spellEnd"/>
      <w:r w:rsidR="00D57AC9" w:rsidRPr="0056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AC9" w:rsidRPr="0056757B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="00D57AC9" w:rsidRPr="0056757B">
        <w:rPr>
          <w:rFonts w:ascii="Times New Roman" w:hAnsi="Times New Roman" w:cs="Times New Roman"/>
          <w:sz w:val="28"/>
          <w:szCs w:val="28"/>
        </w:rPr>
        <w:t xml:space="preserve">, </w:t>
      </w:r>
      <w:r w:rsidR="00396A84" w:rsidRPr="0056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A84" w:rsidRPr="0056757B">
        <w:rPr>
          <w:rFonts w:ascii="Times New Roman" w:hAnsi="Times New Roman" w:cs="Times New Roman"/>
          <w:sz w:val="28"/>
          <w:szCs w:val="28"/>
        </w:rPr>
        <w:t>Artificial</w:t>
      </w:r>
      <w:proofErr w:type="spellEnd"/>
      <w:r w:rsidR="00396A84" w:rsidRPr="0056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A84" w:rsidRPr="0056757B">
        <w:rPr>
          <w:rFonts w:ascii="Times New Roman" w:hAnsi="Times New Roman" w:cs="Times New Roman"/>
          <w:sz w:val="28"/>
          <w:szCs w:val="28"/>
        </w:rPr>
        <w:t>Neural</w:t>
      </w:r>
      <w:proofErr w:type="spellEnd"/>
      <w:r w:rsidR="00396A84" w:rsidRPr="0056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A84" w:rsidRPr="0056757B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="00396A84" w:rsidRPr="00567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6A84" w:rsidRPr="0056757B">
        <w:rPr>
          <w:rFonts w:ascii="Times New Roman" w:hAnsi="Times New Roman" w:cs="Times New Roman"/>
          <w:sz w:val="28"/>
          <w:szCs w:val="28"/>
        </w:rPr>
        <w:t>Naive</w:t>
      </w:r>
      <w:proofErr w:type="spellEnd"/>
      <w:r w:rsidR="00396A84" w:rsidRPr="0056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A84" w:rsidRPr="0056757B">
        <w:rPr>
          <w:rFonts w:ascii="Times New Roman" w:hAnsi="Times New Roman" w:cs="Times New Roman"/>
          <w:sz w:val="28"/>
          <w:szCs w:val="28"/>
        </w:rPr>
        <w:t>Bayes</w:t>
      </w:r>
      <w:proofErr w:type="spellEnd"/>
      <w:r w:rsidR="00396A84" w:rsidRPr="0056757B">
        <w:rPr>
          <w:rFonts w:ascii="Times New Roman" w:hAnsi="Times New Roman" w:cs="Times New Roman"/>
          <w:sz w:val="28"/>
          <w:szCs w:val="28"/>
        </w:rPr>
        <w:t xml:space="preserve"> </w:t>
      </w:r>
      <w:r w:rsidR="00D57AC9" w:rsidRPr="0056757B">
        <w:rPr>
          <w:rFonts w:ascii="Times New Roman" w:hAnsi="Times New Roman" w:cs="Times New Roman"/>
          <w:sz w:val="28"/>
          <w:szCs w:val="28"/>
        </w:rPr>
        <w:t>,</w:t>
      </w:r>
      <w:r w:rsidR="00396A84" w:rsidRPr="0056757B">
        <w:rPr>
          <w:rFonts w:ascii="Times New Roman" w:hAnsi="Times New Roman" w:cs="Times New Roman"/>
          <w:sz w:val="28"/>
          <w:szCs w:val="28"/>
        </w:rPr>
        <w:t xml:space="preserve"> K-</w:t>
      </w:r>
      <w:proofErr w:type="spellStart"/>
      <w:r w:rsidR="00396A84" w:rsidRPr="0056757B">
        <w:rPr>
          <w:rFonts w:ascii="Times New Roman" w:hAnsi="Times New Roman" w:cs="Times New Roman"/>
          <w:sz w:val="28"/>
          <w:szCs w:val="28"/>
        </w:rPr>
        <w:t>Nearest</w:t>
      </w:r>
      <w:proofErr w:type="spellEnd"/>
      <w:r w:rsidR="00396A84" w:rsidRPr="0056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A84" w:rsidRPr="0056757B">
        <w:rPr>
          <w:rFonts w:ascii="Times New Roman" w:hAnsi="Times New Roman" w:cs="Times New Roman"/>
          <w:sz w:val="28"/>
          <w:szCs w:val="28"/>
        </w:rPr>
        <w:t>Neighbour</w:t>
      </w:r>
      <w:proofErr w:type="spellEnd"/>
      <w:r w:rsidR="00396A84" w:rsidRPr="0056757B">
        <w:rPr>
          <w:rFonts w:ascii="Times New Roman" w:hAnsi="Times New Roman" w:cs="Times New Roman"/>
          <w:sz w:val="28"/>
          <w:szCs w:val="28"/>
        </w:rPr>
        <w:t xml:space="preserve"> ,</w:t>
      </w:r>
      <w:r w:rsidR="00D57AC9" w:rsidRPr="0056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AC9" w:rsidRPr="0056757B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="00D57AC9" w:rsidRPr="0056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AC9" w:rsidRPr="0056757B">
        <w:rPr>
          <w:rFonts w:ascii="Times New Roman" w:hAnsi="Times New Roman" w:cs="Times New Roman"/>
          <w:sz w:val="28"/>
          <w:szCs w:val="28"/>
        </w:rPr>
        <w:t>Vector</w:t>
      </w:r>
      <w:proofErr w:type="spellEnd"/>
      <w:r w:rsidR="00D57AC9" w:rsidRPr="0056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AC9" w:rsidRPr="0056757B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="00D57AC9" w:rsidRPr="0056757B">
        <w:rPr>
          <w:rFonts w:ascii="Times New Roman" w:hAnsi="Times New Roman" w:cs="Times New Roman"/>
          <w:sz w:val="28"/>
          <w:szCs w:val="28"/>
        </w:rPr>
        <w:t xml:space="preserve"> (SVM) </w:t>
      </w:r>
      <w:r w:rsidR="00396A84" w:rsidRPr="0056757B">
        <w:rPr>
          <w:rFonts w:ascii="Times New Roman" w:hAnsi="Times New Roman" w:cs="Times New Roman"/>
          <w:sz w:val="28"/>
          <w:szCs w:val="28"/>
        </w:rPr>
        <w:t xml:space="preserve">  та інші.</w:t>
      </w:r>
      <w:r w:rsidR="00F40CA8"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CA8" w:rsidRPr="0056757B">
        <w:rPr>
          <w:rFonts w:ascii="Times New Roman" w:hAnsi="Times New Roman" w:cs="Times New Roman"/>
          <w:color w:val="000000"/>
          <w:sz w:val="28"/>
          <w:szCs w:val="28"/>
        </w:rPr>
        <w:t>З використанням методів інтелектуального аналізу даних прогностичне моделювання зазвичай використовують у прогнозуванні успішності студентів. Загалом кількість досліджень у сфері інтелектуального аналізу даних у освітніх програмах швидко зростає, а також збільшується різноман</w:t>
      </w:r>
      <w:r w:rsidR="0056757B"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ітність використовуваних методів. </w:t>
      </w:r>
      <w:r w:rsidR="0056757B" w:rsidRPr="0056757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6757B"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Встановлено на основі системного дослідження та </w:t>
      </w:r>
      <w:r w:rsidR="0056757B"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 класифіковано </w:t>
      </w:r>
      <w:r w:rsidR="0056757B" w:rsidRPr="0056757B">
        <w:rPr>
          <w:rFonts w:ascii="Times New Roman" w:hAnsi="Times New Roman" w:cs="Times New Roman"/>
          <w:color w:val="000000"/>
          <w:sz w:val="28"/>
          <w:szCs w:val="28"/>
        </w:rPr>
        <w:t>атрибути</w:t>
      </w:r>
      <w:r w:rsidR="0056757B"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, що брались до уваги найчастіше в </w:t>
      </w:r>
      <w:r w:rsidR="0056757B" w:rsidRPr="0056757B">
        <w:rPr>
          <w:rFonts w:ascii="Times New Roman" w:hAnsi="Times New Roman" w:cs="Times New Roman"/>
          <w:color w:val="000000"/>
          <w:sz w:val="28"/>
          <w:szCs w:val="28"/>
        </w:rPr>
        <w:t>прогнозуванні успішності здобувачів освіти</w:t>
      </w:r>
      <w:r w:rsidR="0056757B"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: персональні, академічні, економічні, соціальні та інституційні. І найбільш досліджуваними є персональні чинники, такі як: вік, </w:t>
      </w:r>
      <w:proofErr w:type="spellStart"/>
      <w:r w:rsidR="0056757B" w:rsidRPr="0056757B">
        <w:rPr>
          <w:rFonts w:ascii="Times New Roman" w:hAnsi="Times New Roman" w:cs="Times New Roman"/>
          <w:color w:val="000000"/>
          <w:sz w:val="28"/>
          <w:szCs w:val="28"/>
        </w:rPr>
        <w:t>гендер</w:t>
      </w:r>
      <w:proofErr w:type="spellEnd"/>
      <w:r w:rsidR="0056757B" w:rsidRPr="0056757B">
        <w:rPr>
          <w:rFonts w:ascii="Times New Roman" w:hAnsi="Times New Roman" w:cs="Times New Roman"/>
          <w:color w:val="000000"/>
          <w:sz w:val="28"/>
          <w:szCs w:val="28"/>
        </w:rPr>
        <w:t>, національність</w:t>
      </w:r>
      <w:r w:rsidR="0056757B" w:rsidRPr="0056757B">
        <w:rPr>
          <w:rFonts w:ascii="Times New Roman" w:hAnsi="Times New Roman" w:cs="Times New Roman"/>
          <w:color w:val="000000"/>
          <w:sz w:val="28"/>
          <w:szCs w:val="28"/>
        </w:rPr>
        <w:t>, приналежність до сільської ти міської території, тощо.</w:t>
      </w:r>
      <w:r w:rsidR="0056757B"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 Проте традиційні алгоритми та підходи інтелектуального аналізу даних не можуть бути безпосередньо застосовані до вирішення проблем у навчальному процесі, оскільки вони можуть мати специфічну мету та функцію. Це означає, що спочатку повинен бути застосований алгоритм попереднього оброблення</w:t>
      </w:r>
      <w:r w:rsidR="0056757B"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 даних</w:t>
      </w:r>
      <w:r w:rsidR="0056757B"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 і тільки тоді можуть бути застосовані деякі специфічні методи аналізу даних.</w:t>
      </w:r>
      <w:r w:rsidR="00396A84" w:rsidRPr="0056757B">
        <w:rPr>
          <w:rFonts w:ascii="Times New Roman" w:hAnsi="Times New Roman" w:cs="Times New Roman"/>
          <w:sz w:val="28"/>
          <w:szCs w:val="28"/>
        </w:rPr>
        <w:t xml:space="preserve"> </w:t>
      </w:r>
      <w:r w:rsidR="005327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основі огляду великої кількості літературних джерел доведено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що  якість знань та успішність </w:t>
      </w:r>
      <w:r w:rsidR="005327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здобувачів освіти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формується </w:t>
      </w:r>
      <w:r w:rsidR="005327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результаті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взаємодії  двох груп учасників освітнього процесу: здобувачів освіти та викладачів. Вони, </w:t>
      </w:r>
      <w:r w:rsidR="00D57AC9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правило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D57AC9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 взаємодіяти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офлайн</w:t>
      </w:r>
      <w:proofErr w:type="spellEnd"/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D57AC9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тобто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надання освітніх послуг</w:t>
      </w:r>
      <w:r w:rsidR="00D57AC9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відбувається безпосередньо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базі навчальних лабораторій закладів освіти чи онлайн </w:t>
      </w:r>
      <w:r w:rsidR="00D57AC9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використанні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інформаційних технологій,</w:t>
      </w:r>
      <w:r w:rsidR="00D57AC9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цифрових сервісів та платформ,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також </w:t>
      </w:r>
      <w:r w:rsidR="00D57AC9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 значний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57AC9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вплив на набуття відповідних </w:t>
      </w:r>
      <w:proofErr w:type="spellStart"/>
      <w:r w:rsidR="00D57AC9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="00D57AC9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та 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якість одержаних знань </w:t>
      </w:r>
      <w:r w:rsidR="00D57AC9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підвищує успішність студентів.</w:t>
      </w:r>
    </w:p>
    <w:p w:rsidR="00CC0ACE" w:rsidRPr="00CC0ACE" w:rsidRDefault="00D57AC9" w:rsidP="00C131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Концептуальна математична модель</w:t>
      </w:r>
      <w:r w:rsidR="00CC0ACE"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яка формалізує формування успішності здобувача освіти </w:t>
      </w:r>
      <w:r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 ієрархічну структуру, поєднуючи атрибути та метрики освітніх даних:</w:t>
      </w:r>
    </w:p>
    <w:p w:rsidR="00CC0ACE" w:rsidRPr="00CC0ACE" w:rsidRDefault="00D57AC9" w:rsidP="00C131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7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F</w:t>
      </w:r>
      <w:r w:rsidR="00CC0ACE" w:rsidRPr="00CC0A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= </w:t>
      </w:r>
      <w:proofErr w:type="spellStart"/>
      <w:r w:rsidR="00CC0ACE" w:rsidRPr="00CC0A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Q</w:t>
      </w:r>
      <w:r w:rsidR="00CC0ACE" w:rsidRPr="00CC0AC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uk-UA"/>
        </w:rPr>
        <w:t>m</w:t>
      </w:r>
      <w:proofErr w:type="spellEnd"/>
      <w:r w:rsidR="00CC0ACE" w:rsidRPr="00CC0A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, </w:t>
      </w:r>
      <w:proofErr w:type="spellStart"/>
      <w:r w:rsidR="00CC0ACE" w:rsidRPr="00CC0A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Q</w:t>
      </w:r>
      <w:r w:rsidR="00CC0ACE" w:rsidRPr="00CC0AC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uk-UA"/>
        </w:rPr>
        <w:t>k</w:t>
      </w:r>
      <w:proofErr w:type="spellEnd"/>
      <w:r w:rsidR="00CC0ACE" w:rsidRPr="00CC0A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, </w:t>
      </w:r>
      <w:proofErr w:type="spellStart"/>
      <w:r w:rsidR="00CC0ACE" w:rsidRPr="00CC0A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Q</w:t>
      </w:r>
      <w:r w:rsidR="00CC0ACE" w:rsidRPr="00CC0AC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uk-UA"/>
        </w:rPr>
        <w:t>t</w:t>
      </w:r>
      <w:proofErr w:type="gramStart"/>
      <w:r w:rsidR="00CC0ACE" w:rsidRPr="00CC0A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,Q</w:t>
      </w:r>
      <w:r w:rsidR="00CC0ACE" w:rsidRPr="00CC0AC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uk-UA"/>
        </w:rPr>
        <w:t>s</w:t>
      </w:r>
      <w:proofErr w:type="spellEnd"/>
      <w:proofErr w:type="gramEnd"/>
      <w:r w:rsidR="00CC0ACE" w:rsidRPr="00CC0AC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 xml:space="preserve">  </w:t>
      </w:r>
      <w:r w:rsidR="00CC0ACE"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→ </w:t>
      </w:r>
      <w:proofErr w:type="spellStart"/>
      <w:r w:rsidR="00396A84" w:rsidRPr="005675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extr</w:t>
      </w:r>
      <w:proofErr w:type="spellEnd"/>
      <w:r w:rsidR="00396A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(</w:t>
      </w:r>
      <w:proofErr w:type="spellStart"/>
      <w:r w:rsidR="00CC0ACE" w:rsidRPr="00CC0A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max</w:t>
      </w:r>
      <w:proofErr w:type="spellEnd"/>
      <w:r w:rsidR="00396A84" w:rsidRPr="005675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)</w:t>
      </w:r>
      <w:r w:rsidR="00CC0ACE" w:rsidRPr="00CC0AC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 xml:space="preserve"> </w:t>
      </w:r>
      <w:r w:rsidR="00CC0ACE"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CC0ACE" w:rsidRPr="00CC0ACE" w:rsidRDefault="00CC0ACE" w:rsidP="00C131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 </w:t>
      </w:r>
      <w:r w:rsidR="00D57AC9" w:rsidRPr="005675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F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396A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інтегральний показник успішності здобувачів освіти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 </w:t>
      </w:r>
    </w:p>
    <w:p w:rsidR="00CC0ACE" w:rsidRPr="00CC0ACE" w:rsidRDefault="00CC0ACE" w:rsidP="00C131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0ACE">
        <w:rPr>
          <w:rFonts w:ascii="Cambria Math" w:eastAsia="Times New Roman" w:hAnsi="Cambria Math" w:cs="Cambria Math"/>
          <w:color w:val="000000"/>
          <w:sz w:val="28"/>
          <w:szCs w:val="28"/>
          <w:lang w:eastAsia="uk-UA"/>
        </w:rPr>
        <w:t>𝑄</w:t>
      </w:r>
      <w:r w:rsidRPr="00CC0AC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uk-UA"/>
        </w:rPr>
        <w:t>m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 xml:space="preserve"> 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  </w:t>
      </w:r>
      <w:r w:rsidR="00396A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використання </w:t>
      </w:r>
      <w:r w:rsidR="00396A84"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LMS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96A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онлайн навчання (</w:t>
      </w:r>
      <w:r w:rsidR="00396A84"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LMS</w:t>
      </w:r>
      <w:r w:rsidR="00396A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moodle</w:t>
      </w:r>
      <w:proofErr w:type="spellEnd"/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</w:t>
      </w:r>
    </w:p>
    <w:p w:rsidR="00CC0ACE" w:rsidRPr="00CC0ACE" w:rsidRDefault="00CC0ACE" w:rsidP="00C131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0ACE">
        <w:rPr>
          <w:rFonts w:ascii="Cambria Math" w:eastAsia="Times New Roman" w:hAnsi="Cambria Math" w:cs="Cambria Math"/>
          <w:color w:val="000000"/>
          <w:sz w:val="28"/>
          <w:szCs w:val="28"/>
          <w:lang w:eastAsia="uk-UA"/>
        </w:rPr>
        <w:t>𝑄</w:t>
      </w:r>
      <w:r w:rsidRPr="00CC0AC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uk-UA"/>
        </w:rPr>
        <w:t>k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 xml:space="preserve"> 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якість і доступність освітнього контенту у системі</w:t>
      </w:r>
      <w:r w:rsidR="00396A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(використання атестованих ЕНК)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C0ACE" w:rsidRPr="00CC0ACE" w:rsidRDefault="00CC0ACE" w:rsidP="00C131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0ACE">
        <w:rPr>
          <w:rFonts w:ascii="Cambria Math" w:eastAsia="Times New Roman" w:hAnsi="Cambria Math" w:cs="Cambria Math"/>
          <w:color w:val="000000"/>
          <w:sz w:val="28"/>
          <w:szCs w:val="28"/>
          <w:lang w:eastAsia="uk-UA"/>
        </w:rPr>
        <w:t>𝑄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 xml:space="preserve">t </w:t>
      </w:r>
      <w:r w:rsidR="00396A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професійність викладача (відповідність освітній компоненті)</w:t>
      </w:r>
    </w:p>
    <w:p w:rsidR="00CC0ACE" w:rsidRPr="0056757B" w:rsidRDefault="00CC0ACE" w:rsidP="00C131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0ACE">
        <w:rPr>
          <w:rFonts w:ascii="Cambria Math" w:eastAsia="Times New Roman" w:hAnsi="Cambria Math" w:cs="Cambria Math"/>
          <w:color w:val="000000"/>
          <w:sz w:val="28"/>
          <w:szCs w:val="28"/>
          <w:lang w:eastAsia="uk-UA"/>
        </w:rPr>
        <w:t>𝑄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s  </w:t>
      </w:r>
      <w:r w:rsidR="00396A84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Pr="00CC0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ефективність роботи студента  (активність на курсі)</w:t>
      </w:r>
      <w:r w:rsidR="001E516D" w:rsidRPr="00567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E516D" w:rsidRPr="0056757B" w:rsidRDefault="001E516D" w:rsidP="00C131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757B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 технології збирають велику кількість даних про перебіг навчання.</w:t>
      </w:r>
    </w:p>
    <w:p w:rsidR="001E516D" w:rsidRPr="0056757B" w:rsidRDefault="001E516D" w:rsidP="00C13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75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Аналізуючи їх, і освітяни і </w:t>
      </w:r>
      <w:proofErr w:type="spellStart"/>
      <w:r w:rsidRPr="0056757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стейкхолдери</w:t>
      </w:r>
      <w:proofErr w:type="spellEnd"/>
      <w:r w:rsidRPr="005675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 отримувати цінну інформацію про моделі навчання, щоб покращувати програми, розуміючи, з чим у слухачів виникають труднощі, виявляти індивідуальні потреби здобувачів певних груп та адаптувати  навчальні курси, прогнозувати популярність певних </w:t>
      </w:r>
      <w:proofErr w:type="spellStart"/>
      <w:r w:rsidRPr="0056757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5675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 аудиторії.</w:t>
      </w:r>
    </w:p>
    <w:p w:rsidR="0056757B" w:rsidRDefault="00C131EB" w:rsidP="00C131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57B">
        <w:rPr>
          <w:rFonts w:ascii="Times New Roman" w:hAnsi="Times New Roman" w:cs="Times New Roman"/>
          <w:color w:val="000000"/>
          <w:sz w:val="28"/>
          <w:szCs w:val="28"/>
        </w:rPr>
        <w:t>Усестороннє</w:t>
      </w:r>
      <w:r w:rsidR="0056757B"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 впровадження інформаційних технологій змінив освітню поведінку студентів. Можна сказати, що вдосконалення технологій, особливо у сфері штучного інтелекту та аналізу даних, можуть забезпечити вищий ступінь задоволеності та ефективності навчання. А отже для менеджменту якості освіти стає важливим розробка моделі прогнозування, яка дає орієнтир зацікавленим сторонам, таким як у</w:t>
      </w:r>
      <w:r>
        <w:rPr>
          <w:rFonts w:ascii="Times New Roman" w:hAnsi="Times New Roman" w:cs="Times New Roman"/>
          <w:color w:val="000000"/>
          <w:sz w:val="28"/>
          <w:szCs w:val="28"/>
        </w:rPr>
        <w:t>ніверситет, спонсори студента,</w:t>
      </w:r>
      <w:r w:rsidR="0056757B" w:rsidRPr="0056757B">
        <w:rPr>
          <w:rFonts w:ascii="Times New Roman" w:hAnsi="Times New Roman" w:cs="Times New Roman"/>
          <w:color w:val="000000"/>
          <w:sz w:val="28"/>
          <w:szCs w:val="28"/>
        </w:rPr>
        <w:t xml:space="preserve"> батьки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інші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стейкхолдери</w:t>
      </w:r>
      <w:proofErr w:type="spellEnd"/>
      <w:r w:rsidR="0056757B" w:rsidRPr="0056757B">
        <w:rPr>
          <w:rFonts w:ascii="Times New Roman" w:hAnsi="Times New Roman" w:cs="Times New Roman"/>
          <w:color w:val="000000"/>
          <w:sz w:val="28"/>
          <w:szCs w:val="28"/>
        </w:rPr>
        <w:t>, які можуть контролювати та інтерпретувати успішність студента.</w:t>
      </w:r>
    </w:p>
    <w:p w:rsidR="00793454" w:rsidRDefault="00793454" w:rsidP="00793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3454">
        <w:rPr>
          <w:rFonts w:ascii="Times New Roman" w:hAnsi="Times New Roman" w:cs="Times New Roman"/>
          <w:b/>
          <w:color w:val="000000"/>
          <w:sz w:val="28"/>
          <w:szCs w:val="28"/>
        </w:rPr>
        <w:t>Література:</w:t>
      </w:r>
    </w:p>
    <w:p w:rsidR="00793454" w:rsidRPr="00721615" w:rsidRDefault="00793454" w:rsidP="00793454">
      <w:pPr>
        <w:pStyle w:val="a5"/>
        <w:numPr>
          <w:ilvl w:val="0"/>
          <w:numId w:val="2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/>
          <w:color w:val="000000"/>
          <w:sz w:val="24"/>
          <w:szCs w:val="24"/>
        </w:rPr>
      </w:pPr>
      <w:r w:rsidRPr="00721615">
        <w:rPr>
          <w:rFonts w:ascii="Times New Roman" w:eastAsia="SimSun" w:hAnsi="Times New Roman"/>
          <w:color w:val="000000"/>
          <w:sz w:val="24"/>
          <w:szCs w:val="24"/>
        </w:rPr>
        <w:t xml:space="preserve">Глазунова О, Клименко, Є., Волошина, Т., </w:t>
      </w:r>
      <w:proofErr w:type="spellStart"/>
      <w:r w:rsidRPr="00721615">
        <w:rPr>
          <w:rFonts w:ascii="Times New Roman" w:eastAsia="SimSun" w:hAnsi="Times New Roman"/>
          <w:color w:val="000000"/>
          <w:sz w:val="24"/>
          <w:szCs w:val="24"/>
        </w:rPr>
        <w:t>Мокрієв</w:t>
      </w:r>
      <w:proofErr w:type="spellEnd"/>
      <w:r w:rsidRPr="00721615">
        <w:rPr>
          <w:rFonts w:ascii="Times New Roman" w:eastAsia="SimSun" w:hAnsi="Times New Roman"/>
          <w:color w:val="000000"/>
          <w:sz w:val="24"/>
          <w:szCs w:val="24"/>
        </w:rPr>
        <w:t xml:space="preserve"> М., </w:t>
      </w:r>
      <w:proofErr w:type="spellStart"/>
      <w:r w:rsidRPr="00721615">
        <w:rPr>
          <w:rFonts w:ascii="Times New Roman" w:eastAsia="SimSun" w:hAnsi="Times New Roman"/>
          <w:color w:val="000000"/>
          <w:sz w:val="24"/>
          <w:szCs w:val="24"/>
        </w:rPr>
        <w:t>Вороненко</w:t>
      </w:r>
      <w:proofErr w:type="spellEnd"/>
      <w:r w:rsidRPr="00721615">
        <w:rPr>
          <w:rFonts w:ascii="Times New Roman" w:eastAsia="SimSun" w:hAnsi="Times New Roman"/>
          <w:color w:val="000000"/>
          <w:sz w:val="24"/>
          <w:szCs w:val="24"/>
        </w:rPr>
        <w:t xml:space="preserve"> О. </w:t>
      </w:r>
      <w:hyperlink r:id="rId7" w:history="1">
        <w:r w:rsidRPr="00721615">
          <w:rPr>
            <w:rFonts w:ascii="Times New Roman" w:eastAsia="SimSun" w:hAnsi="Times New Roman"/>
            <w:color w:val="000000"/>
            <w:sz w:val="24"/>
            <w:szCs w:val="24"/>
          </w:rPr>
          <w:t>Освітня аналітика в університетах: інструменти для аналізу та прогнозування</w:t>
        </w:r>
      </w:hyperlink>
      <w:r w:rsidRPr="00721615">
        <w:rPr>
          <w:rFonts w:ascii="Times New Roman" w:eastAsia="SimSun" w:hAnsi="Times New Roman"/>
          <w:color w:val="000000"/>
          <w:sz w:val="24"/>
          <w:szCs w:val="24"/>
        </w:rPr>
        <w:t>. Телекомунікаційні та інформаційні технології. №2 2024, с.49-59</w:t>
      </w:r>
      <w:r w:rsidRPr="00721615">
        <w:rPr>
          <w:rFonts w:ascii="Times New Roman" w:eastAsia="SimSun" w:hAnsi="Times New Roman"/>
          <w:color w:val="000000"/>
          <w:sz w:val="24"/>
          <w:szCs w:val="24"/>
        </w:rPr>
        <w:t>.</w:t>
      </w:r>
    </w:p>
    <w:p w:rsidR="00793454" w:rsidRPr="00721615" w:rsidRDefault="00793454" w:rsidP="00793454">
      <w:pPr>
        <w:pStyle w:val="a5"/>
        <w:numPr>
          <w:ilvl w:val="0"/>
          <w:numId w:val="2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/>
          <w:color w:val="000000"/>
          <w:sz w:val="24"/>
          <w:szCs w:val="24"/>
        </w:rPr>
      </w:pPr>
      <w:proofErr w:type="spellStart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Khan</w:t>
      </w:r>
      <w:proofErr w:type="spellEnd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, I., </w:t>
      </w:r>
      <w:proofErr w:type="spellStart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Ahmad</w:t>
      </w:r>
      <w:proofErr w:type="spellEnd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, A.R., </w:t>
      </w:r>
      <w:proofErr w:type="spellStart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Jabeur</w:t>
      </w:r>
      <w:proofErr w:type="spellEnd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, N. </w:t>
      </w:r>
      <w:proofErr w:type="spellStart"/>
      <w:r w:rsidRPr="00721615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CFCFC"/>
        </w:rPr>
        <w:t>et</w:t>
      </w:r>
      <w:proofErr w:type="spellEnd"/>
      <w:r w:rsidRPr="00721615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721615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CFCFC"/>
        </w:rPr>
        <w:t>al</w:t>
      </w:r>
      <w:proofErr w:type="spellEnd"/>
      <w:r w:rsidRPr="00721615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CFCFC"/>
        </w:rPr>
        <w:t>.</w:t>
      </w:r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 </w:t>
      </w:r>
      <w:proofErr w:type="spellStart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An</w:t>
      </w:r>
      <w:proofErr w:type="spellEnd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artificial</w:t>
      </w:r>
      <w:proofErr w:type="spellEnd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intelligence</w:t>
      </w:r>
      <w:proofErr w:type="spellEnd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approach</w:t>
      </w:r>
      <w:proofErr w:type="spellEnd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to</w:t>
      </w:r>
      <w:proofErr w:type="spellEnd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monitor</w:t>
      </w:r>
      <w:proofErr w:type="spellEnd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student</w:t>
      </w:r>
      <w:proofErr w:type="spellEnd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performance</w:t>
      </w:r>
      <w:proofErr w:type="spellEnd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and</w:t>
      </w:r>
      <w:proofErr w:type="spellEnd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devise</w:t>
      </w:r>
      <w:proofErr w:type="spellEnd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preventive</w:t>
      </w:r>
      <w:proofErr w:type="spellEnd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measures</w:t>
      </w:r>
      <w:proofErr w:type="spellEnd"/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. </w:t>
      </w:r>
      <w:proofErr w:type="spellStart"/>
      <w:r w:rsidRPr="00721615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CFCFC"/>
        </w:rPr>
        <w:t>Smart</w:t>
      </w:r>
      <w:proofErr w:type="spellEnd"/>
      <w:r w:rsidRPr="00721615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721615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CFCFC"/>
        </w:rPr>
        <w:t>Learn</w:t>
      </w:r>
      <w:proofErr w:type="spellEnd"/>
      <w:r w:rsidRPr="00721615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CFCFC"/>
        </w:rPr>
        <w:t xml:space="preserve">. </w:t>
      </w:r>
      <w:proofErr w:type="spellStart"/>
      <w:r w:rsidRPr="00721615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CFCFC"/>
        </w:rPr>
        <w:t>Environ</w:t>
      </w:r>
      <w:proofErr w:type="spellEnd"/>
      <w:r w:rsidRPr="00721615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CFCFC"/>
        </w:rPr>
        <w:t>.</w:t>
      </w:r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 </w:t>
      </w:r>
      <w:r w:rsidRPr="0072161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CFCFC"/>
        </w:rPr>
        <w:t>8</w:t>
      </w:r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, 17 (2021). </w:t>
      </w:r>
      <w:hyperlink r:id="rId8" w:history="1">
        <w:r w:rsidRPr="00721615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https://doi.org/10.1186/s40561-021-00161-y</w:t>
        </w:r>
      </w:hyperlink>
      <w:r w:rsidRPr="00721615">
        <w:rPr>
          <w:rFonts w:ascii="Times New Roman" w:hAnsi="Times New Roman"/>
          <w:color w:val="333333"/>
          <w:sz w:val="24"/>
          <w:szCs w:val="24"/>
          <w:shd w:val="clear" w:color="auto" w:fill="FCFCFC"/>
          <w:lang w:val="en-US"/>
        </w:rPr>
        <w:t xml:space="preserve"> </w:t>
      </w:r>
    </w:p>
    <w:p w:rsidR="00721615" w:rsidRPr="00721615" w:rsidRDefault="00721615" w:rsidP="00721615">
      <w:pPr>
        <w:pStyle w:val="a5"/>
        <w:numPr>
          <w:ilvl w:val="0"/>
          <w:numId w:val="2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/>
          <w:color w:val="000000"/>
          <w:sz w:val="24"/>
          <w:szCs w:val="24"/>
        </w:rPr>
      </w:pPr>
      <w:proofErr w:type="spellStart"/>
      <w:r w:rsidRPr="00721615">
        <w:rPr>
          <w:rFonts w:ascii="Times New Roman" w:hAnsi="Times New Roman"/>
          <w:color w:val="222222"/>
          <w:sz w:val="24"/>
          <w:szCs w:val="24"/>
        </w:rPr>
        <w:t>Lynn</w:t>
      </w:r>
      <w:proofErr w:type="spellEnd"/>
      <w:r w:rsidRPr="00721615">
        <w:rPr>
          <w:rFonts w:ascii="Times New Roman" w:hAnsi="Times New Roman"/>
          <w:color w:val="222222"/>
          <w:sz w:val="24"/>
          <w:szCs w:val="24"/>
        </w:rPr>
        <w:t xml:space="preserve">, N. D., </w:t>
      </w:r>
      <w:proofErr w:type="spellStart"/>
      <w:r w:rsidRPr="00721615">
        <w:rPr>
          <w:rFonts w:ascii="Times New Roman" w:hAnsi="Times New Roman"/>
          <w:color w:val="222222"/>
          <w:sz w:val="24"/>
          <w:szCs w:val="24"/>
        </w:rPr>
        <w:t>and</w:t>
      </w:r>
      <w:proofErr w:type="spellEnd"/>
      <w:r w:rsidRPr="00721615">
        <w:rPr>
          <w:rFonts w:ascii="Times New Roman" w:hAnsi="Times New Roman"/>
          <w:color w:val="222222"/>
          <w:sz w:val="24"/>
          <w:szCs w:val="24"/>
        </w:rPr>
        <w:t xml:space="preserve"> A. W. R. </w:t>
      </w:r>
      <w:proofErr w:type="spellStart"/>
      <w:r w:rsidRPr="00721615">
        <w:rPr>
          <w:rFonts w:ascii="Times New Roman" w:hAnsi="Times New Roman"/>
          <w:color w:val="222222"/>
          <w:sz w:val="24"/>
          <w:szCs w:val="24"/>
        </w:rPr>
        <w:t>Emanuel</w:t>
      </w:r>
      <w:proofErr w:type="spellEnd"/>
      <w:r w:rsidRPr="00721615">
        <w:rPr>
          <w:rFonts w:ascii="Times New Roman" w:hAnsi="Times New Roman"/>
          <w:color w:val="222222"/>
          <w:sz w:val="24"/>
          <w:szCs w:val="24"/>
        </w:rPr>
        <w:t>. "</w:t>
      </w:r>
      <w:proofErr w:type="spellStart"/>
      <w:r w:rsidRPr="00721615">
        <w:rPr>
          <w:rFonts w:ascii="Times New Roman" w:hAnsi="Times New Roman"/>
          <w:color w:val="222222"/>
          <w:sz w:val="24"/>
          <w:szCs w:val="24"/>
        </w:rPr>
        <w:t>Using</w:t>
      </w:r>
      <w:proofErr w:type="spellEnd"/>
      <w:r w:rsidRPr="0072161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721615">
        <w:rPr>
          <w:rFonts w:ascii="Times New Roman" w:hAnsi="Times New Roman"/>
          <w:color w:val="222222"/>
          <w:sz w:val="24"/>
          <w:szCs w:val="24"/>
        </w:rPr>
        <w:t>Data</w:t>
      </w:r>
      <w:proofErr w:type="spellEnd"/>
      <w:r w:rsidRPr="0072161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721615">
        <w:rPr>
          <w:rFonts w:ascii="Times New Roman" w:hAnsi="Times New Roman"/>
          <w:color w:val="222222"/>
          <w:sz w:val="24"/>
          <w:szCs w:val="24"/>
        </w:rPr>
        <w:t>Mining</w:t>
      </w:r>
      <w:proofErr w:type="spellEnd"/>
      <w:r w:rsidRPr="0072161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721615">
        <w:rPr>
          <w:rFonts w:ascii="Times New Roman" w:hAnsi="Times New Roman"/>
          <w:color w:val="222222"/>
          <w:sz w:val="24"/>
          <w:szCs w:val="24"/>
        </w:rPr>
        <w:t>Techniques</w:t>
      </w:r>
      <w:proofErr w:type="spellEnd"/>
      <w:r w:rsidRPr="0072161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721615">
        <w:rPr>
          <w:rFonts w:ascii="Times New Roman" w:hAnsi="Times New Roman"/>
          <w:color w:val="222222"/>
          <w:sz w:val="24"/>
          <w:szCs w:val="24"/>
        </w:rPr>
        <w:t>to</w:t>
      </w:r>
      <w:proofErr w:type="spellEnd"/>
      <w:r w:rsidRPr="0072161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721615">
        <w:rPr>
          <w:rFonts w:ascii="Times New Roman" w:hAnsi="Times New Roman"/>
          <w:color w:val="222222"/>
          <w:sz w:val="24"/>
          <w:szCs w:val="24"/>
        </w:rPr>
        <w:t>Predict</w:t>
      </w:r>
      <w:proofErr w:type="spellEnd"/>
      <w:r w:rsidRPr="0072161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721615">
        <w:rPr>
          <w:rFonts w:ascii="Times New Roman" w:hAnsi="Times New Roman"/>
          <w:color w:val="222222"/>
          <w:sz w:val="24"/>
          <w:szCs w:val="24"/>
        </w:rPr>
        <w:t>Students</w:t>
      </w:r>
      <w:proofErr w:type="spellEnd"/>
      <w:r w:rsidRPr="00721615">
        <w:rPr>
          <w:rFonts w:ascii="Times New Roman" w:hAnsi="Times New Roman"/>
          <w:color w:val="222222"/>
          <w:sz w:val="24"/>
          <w:szCs w:val="24"/>
        </w:rPr>
        <w:t xml:space="preserve">’ </w:t>
      </w:r>
      <w:proofErr w:type="spellStart"/>
      <w:r w:rsidRPr="00721615">
        <w:rPr>
          <w:rFonts w:ascii="Times New Roman" w:hAnsi="Times New Roman"/>
          <w:color w:val="222222"/>
          <w:sz w:val="24"/>
          <w:szCs w:val="24"/>
        </w:rPr>
        <w:t>Performance</w:t>
      </w:r>
      <w:proofErr w:type="spellEnd"/>
      <w:r w:rsidRPr="00721615">
        <w:rPr>
          <w:rFonts w:ascii="Times New Roman" w:hAnsi="Times New Roman"/>
          <w:color w:val="222222"/>
          <w:sz w:val="24"/>
          <w:szCs w:val="24"/>
        </w:rPr>
        <w:t xml:space="preserve">. a </w:t>
      </w:r>
      <w:proofErr w:type="spellStart"/>
      <w:r w:rsidRPr="00721615">
        <w:rPr>
          <w:rFonts w:ascii="Times New Roman" w:hAnsi="Times New Roman"/>
          <w:color w:val="222222"/>
          <w:sz w:val="24"/>
          <w:szCs w:val="24"/>
        </w:rPr>
        <w:t>Review</w:t>
      </w:r>
      <w:proofErr w:type="spellEnd"/>
      <w:r w:rsidRPr="00721615">
        <w:rPr>
          <w:rFonts w:ascii="Times New Roman" w:hAnsi="Times New Roman"/>
          <w:color w:val="222222"/>
          <w:sz w:val="24"/>
          <w:szCs w:val="24"/>
        </w:rPr>
        <w:t xml:space="preserve">." </w:t>
      </w:r>
      <w:proofErr w:type="spellStart"/>
      <w:r w:rsidRPr="00721615">
        <w:rPr>
          <w:rFonts w:ascii="Times New Roman" w:hAnsi="Times New Roman"/>
          <w:color w:val="222222"/>
          <w:sz w:val="24"/>
          <w:szCs w:val="24"/>
        </w:rPr>
        <w:t>In</w:t>
      </w:r>
      <w:proofErr w:type="spellEnd"/>
      <w:r w:rsidRPr="00721615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721615">
        <w:rPr>
          <w:rFonts w:ascii="Times New Roman" w:hAnsi="Times New Roman"/>
          <w:i/>
          <w:color w:val="222222"/>
          <w:sz w:val="24"/>
          <w:szCs w:val="24"/>
        </w:rPr>
        <w:t xml:space="preserve">IOP </w:t>
      </w:r>
      <w:proofErr w:type="spellStart"/>
      <w:r w:rsidRPr="00721615">
        <w:rPr>
          <w:rFonts w:ascii="Times New Roman" w:hAnsi="Times New Roman"/>
          <w:i/>
          <w:color w:val="222222"/>
          <w:sz w:val="24"/>
          <w:szCs w:val="24"/>
        </w:rPr>
        <w:t>Conference</w:t>
      </w:r>
      <w:proofErr w:type="spellEnd"/>
      <w:r w:rsidRPr="00721615">
        <w:rPr>
          <w:rFonts w:ascii="Times New Roman" w:hAnsi="Times New Roman"/>
          <w:i/>
          <w:color w:val="222222"/>
          <w:sz w:val="24"/>
          <w:szCs w:val="24"/>
        </w:rPr>
        <w:t xml:space="preserve"> </w:t>
      </w:r>
      <w:proofErr w:type="spellStart"/>
      <w:r w:rsidRPr="00721615">
        <w:rPr>
          <w:rFonts w:ascii="Times New Roman" w:hAnsi="Times New Roman"/>
          <w:i/>
          <w:color w:val="222222"/>
          <w:sz w:val="24"/>
          <w:szCs w:val="24"/>
        </w:rPr>
        <w:t>series</w:t>
      </w:r>
      <w:proofErr w:type="spellEnd"/>
      <w:r w:rsidRPr="00721615">
        <w:rPr>
          <w:rFonts w:ascii="Times New Roman" w:hAnsi="Times New Roman"/>
          <w:i/>
          <w:color w:val="222222"/>
          <w:sz w:val="24"/>
          <w:szCs w:val="24"/>
        </w:rPr>
        <w:t xml:space="preserve">: </w:t>
      </w:r>
      <w:proofErr w:type="spellStart"/>
      <w:r w:rsidRPr="00721615">
        <w:rPr>
          <w:rFonts w:ascii="Times New Roman" w:hAnsi="Times New Roman"/>
          <w:i/>
          <w:color w:val="222222"/>
          <w:sz w:val="24"/>
          <w:szCs w:val="24"/>
        </w:rPr>
        <w:t>materials</w:t>
      </w:r>
      <w:proofErr w:type="spellEnd"/>
      <w:r w:rsidRPr="00721615">
        <w:rPr>
          <w:rFonts w:ascii="Times New Roman" w:hAnsi="Times New Roman"/>
          <w:i/>
          <w:color w:val="222222"/>
          <w:sz w:val="24"/>
          <w:szCs w:val="24"/>
        </w:rPr>
        <w:t xml:space="preserve"> </w:t>
      </w:r>
      <w:proofErr w:type="spellStart"/>
      <w:r w:rsidRPr="00721615">
        <w:rPr>
          <w:rFonts w:ascii="Times New Roman" w:hAnsi="Times New Roman"/>
          <w:i/>
          <w:color w:val="222222"/>
          <w:sz w:val="24"/>
          <w:szCs w:val="24"/>
        </w:rPr>
        <w:t>science</w:t>
      </w:r>
      <w:proofErr w:type="spellEnd"/>
      <w:r w:rsidRPr="00721615">
        <w:rPr>
          <w:rFonts w:ascii="Times New Roman" w:hAnsi="Times New Roman"/>
          <w:i/>
          <w:color w:val="222222"/>
          <w:sz w:val="24"/>
          <w:szCs w:val="24"/>
        </w:rPr>
        <w:t xml:space="preserve"> </w:t>
      </w:r>
      <w:proofErr w:type="spellStart"/>
      <w:r w:rsidRPr="00721615">
        <w:rPr>
          <w:rFonts w:ascii="Times New Roman" w:hAnsi="Times New Roman"/>
          <w:i/>
          <w:color w:val="222222"/>
          <w:sz w:val="24"/>
          <w:szCs w:val="24"/>
        </w:rPr>
        <w:t>and</w:t>
      </w:r>
      <w:proofErr w:type="spellEnd"/>
      <w:r w:rsidRPr="00721615">
        <w:rPr>
          <w:rFonts w:ascii="Times New Roman" w:hAnsi="Times New Roman"/>
          <w:i/>
          <w:color w:val="222222"/>
          <w:sz w:val="24"/>
          <w:szCs w:val="24"/>
        </w:rPr>
        <w:t xml:space="preserve"> </w:t>
      </w:r>
      <w:proofErr w:type="spellStart"/>
      <w:r w:rsidRPr="00721615">
        <w:rPr>
          <w:rFonts w:ascii="Times New Roman" w:hAnsi="Times New Roman"/>
          <w:i/>
          <w:color w:val="222222"/>
          <w:sz w:val="24"/>
          <w:szCs w:val="24"/>
        </w:rPr>
        <w:t>engineering</w:t>
      </w:r>
      <w:proofErr w:type="spellEnd"/>
      <w:r w:rsidRPr="00721615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721615">
        <w:rPr>
          <w:rFonts w:ascii="Times New Roman" w:hAnsi="Times New Roman"/>
          <w:color w:val="222222"/>
          <w:sz w:val="24"/>
          <w:szCs w:val="24"/>
        </w:rPr>
        <w:t>vol</w:t>
      </w:r>
      <w:proofErr w:type="spellEnd"/>
      <w:r w:rsidRPr="00721615">
        <w:rPr>
          <w:rFonts w:ascii="Times New Roman" w:hAnsi="Times New Roman"/>
          <w:color w:val="222222"/>
          <w:sz w:val="24"/>
          <w:szCs w:val="24"/>
        </w:rPr>
        <w:t xml:space="preserve">. 1096, </w:t>
      </w:r>
      <w:proofErr w:type="spellStart"/>
      <w:r w:rsidRPr="00721615">
        <w:rPr>
          <w:rFonts w:ascii="Times New Roman" w:hAnsi="Times New Roman"/>
          <w:color w:val="222222"/>
          <w:sz w:val="24"/>
          <w:szCs w:val="24"/>
        </w:rPr>
        <w:t>no</w:t>
      </w:r>
      <w:proofErr w:type="spellEnd"/>
      <w:r w:rsidRPr="00721615">
        <w:rPr>
          <w:rFonts w:ascii="Times New Roman" w:hAnsi="Times New Roman"/>
          <w:color w:val="222222"/>
          <w:sz w:val="24"/>
          <w:szCs w:val="24"/>
        </w:rPr>
        <w:t xml:space="preserve">. 1, p. 012083. IOP </w:t>
      </w:r>
      <w:proofErr w:type="spellStart"/>
      <w:r w:rsidRPr="00721615">
        <w:rPr>
          <w:rFonts w:ascii="Times New Roman" w:hAnsi="Times New Roman"/>
          <w:color w:val="222222"/>
          <w:sz w:val="24"/>
          <w:szCs w:val="24"/>
        </w:rPr>
        <w:t>Publishing</w:t>
      </w:r>
      <w:proofErr w:type="spellEnd"/>
      <w:r w:rsidRPr="00721615">
        <w:rPr>
          <w:rFonts w:ascii="Times New Roman" w:hAnsi="Times New Roman"/>
          <w:color w:val="222222"/>
          <w:sz w:val="24"/>
          <w:szCs w:val="24"/>
        </w:rPr>
        <w:t xml:space="preserve">, 2021. </w:t>
      </w:r>
      <w:hyperlink r:id="rId9">
        <w:r w:rsidRPr="00721615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https://doi.org/10.1088/1757</w:t>
        </w:r>
      </w:hyperlink>
      <w:hyperlink r:id="rId10">
        <w:r w:rsidRPr="00721615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11">
        <w:r w:rsidRPr="00721615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899X/1096/1/012083</w:t>
        </w:r>
      </w:hyperlink>
      <w:hyperlink r:id="rId12">
        <w:r w:rsidRPr="00721615">
          <w:rPr>
            <w:rFonts w:ascii="Times New Roman" w:hAnsi="Times New Roman"/>
            <w:color w:val="222222"/>
            <w:sz w:val="24"/>
            <w:szCs w:val="24"/>
          </w:rPr>
          <w:t xml:space="preserve"> </w:t>
        </w:r>
      </w:hyperlink>
    </w:p>
    <w:p w:rsidR="00793454" w:rsidRPr="0056757B" w:rsidRDefault="00793454" w:rsidP="00C131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sectPr w:rsidR="00793454" w:rsidRPr="0056757B" w:rsidSect="005675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B26"/>
    <w:multiLevelType w:val="hybridMultilevel"/>
    <w:tmpl w:val="BCBAACDA"/>
    <w:lvl w:ilvl="0" w:tplc="CC0EDDBE">
      <w:start w:val="1"/>
      <w:numFmt w:val="decimal"/>
      <w:lvlText w:val="[%1]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B61D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F89F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EE9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E843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D402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BEF7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508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268A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7169C"/>
    <w:multiLevelType w:val="multilevel"/>
    <w:tmpl w:val="056A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315AF"/>
    <w:multiLevelType w:val="multilevel"/>
    <w:tmpl w:val="9ECC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CE"/>
    <w:rsid w:val="001E516D"/>
    <w:rsid w:val="00396A84"/>
    <w:rsid w:val="00532784"/>
    <w:rsid w:val="0056757B"/>
    <w:rsid w:val="00721615"/>
    <w:rsid w:val="00793454"/>
    <w:rsid w:val="009136DE"/>
    <w:rsid w:val="00C131EB"/>
    <w:rsid w:val="00C76C48"/>
    <w:rsid w:val="00CC0ACE"/>
    <w:rsid w:val="00D57AC9"/>
    <w:rsid w:val="00F4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EBF2"/>
  <w15:chartTrackingRefBased/>
  <w15:docId w15:val="{08A3FD26-1033-494C-AAC2-DB05EA7C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AC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CC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CC0ACE"/>
  </w:style>
  <w:style w:type="character" w:styleId="a4">
    <w:name w:val="Hyperlink"/>
    <w:uiPriority w:val="99"/>
    <w:unhideWhenUsed/>
    <w:rsid w:val="00C131E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79345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у Знак"/>
    <w:link w:val="a5"/>
    <w:uiPriority w:val="34"/>
    <w:locked/>
    <w:rsid w:val="007934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40561-021-00161-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.ua/citations?view_op=view_citation&amp;hl=uk&amp;user=BujWYRcAAAAJ&amp;sortby=pubdate&amp;citation_for_view=BujWYRcAAAAJ:hCrLmN-GePgC" TargetMode="External"/><Relationship Id="rId12" Type="http://schemas.openxmlformats.org/officeDocument/2006/relationships/hyperlink" Target="https://doi.org/10.1088/1757-899X/1096/1/0120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i.org/10.1088/1757-899X/1096/1/012083" TargetMode="External"/><Relationship Id="rId5" Type="http://schemas.openxmlformats.org/officeDocument/2006/relationships/hyperlink" Target="https://orcid.org/0009-0006-6353-6015" TargetMode="External"/><Relationship Id="rId10" Type="http://schemas.openxmlformats.org/officeDocument/2006/relationships/hyperlink" Target="https://doi.org/10.1088/1757-899X/1096/1/012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8/1757-899X/1096/1/0120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4808</Words>
  <Characters>2742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Наталія Анатоліївна</dc:creator>
  <cp:keywords/>
  <dc:description/>
  <cp:lastModifiedBy>Клименко Наталія Анатоліївна</cp:lastModifiedBy>
  <cp:revision>1</cp:revision>
  <dcterms:created xsi:type="dcterms:W3CDTF">2025-04-02T13:44:00Z</dcterms:created>
  <dcterms:modified xsi:type="dcterms:W3CDTF">2025-04-02T15:42:00Z</dcterms:modified>
</cp:coreProperties>
</file>