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AB" w:rsidRPr="00BD5523" w:rsidRDefault="00446846" w:rsidP="009B7573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D552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Кімстач Олег Юрійович</w:t>
      </w:r>
      <w:r w:rsidR="00B76AAB"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proofErr w:type="spellStart"/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к.т.н</w:t>
      </w:r>
      <w:proofErr w:type="spellEnd"/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="00B76AAB"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доц. </w:t>
      </w:r>
    </w:p>
    <w:p w:rsidR="00446846" w:rsidRPr="00BD5523" w:rsidRDefault="00B76AAB" w:rsidP="009B7573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</w:t>
      </w:r>
      <w:r w:rsidR="00446846"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ціональний університет кораблебудування імені адмірала Макарова</w:t>
      </w:r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</w:p>
    <w:p w:rsidR="00B76AAB" w:rsidRPr="00BD5523" w:rsidRDefault="00B76AAB" w:rsidP="009B7573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</w:t>
      </w:r>
      <w:r w:rsidR="00446846"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Миколаїв</w:t>
      </w:r>
    </w:p>
    <w:p w:rsidR="00B76AAB" w:rsidRPr="00BD5523" w:rsidRDefault="00B76AAB" w:rsidP="009B7573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ORCID</w:t>
      </w:r>
      <w:proofErr w:type="spellEnd"/>
      <w:r w:rsidR="00F64C4A"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</w:t>
      </w:r>
      <w:r w:rsidR="00F64C4A" w:rsidRPr="00BD5523">
        <w:rPr>
          <w:rFonts w:ascii="Times New Roman" w:hAnsi="Times New Roman"/>
          <w:i/>
          <w:sz w:val="28"/>
          <w:szCs w:val="28"/>
          <w:lang w:val="uk-UA"/>
        </w:rPr>
        <w:t>0000-0002-1447-8852</w:t>
      </w:r>
    </w:p>
    <w:p w:rsidR="00534374" w:rsidRPr="00BD5523" w:rsidRDefault="00571389" w:rsidP="009B7573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57138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Матвієнко Алін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а</w:t>
      </w:r>
      <w:r w:rsidRPr="0057138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Василівн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а</w:t>
      </w:r>
      <w:r w:rsidR="00534374"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студент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</w:t>
      </w:r>
    </w:p>
    <w:p w:rsidR="00F64C4A" w:rsidRPr="00BD5523" w:rsidRDefault="00F64C4A" w:rsidP="009B7573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Національний університет кораблебудування імені адмірала Макарова, </w:t>
      </w:r>
    </w:p>
    <w:p w:rsidR="00F64C4A" w:rsidRPr="00BD5523" w:rsidRDefault="00F64C4A" w:rsidP="009B7573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D552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м. Миколаїв</w:t>
      </w:r>
    </w:p>
    <w:p w:rsidR="00534374" w:rsidRPr="00BD5523" w:rsidRDefault="00571389" w:rsidP="009B7573">
      <w:pPr>
        <w:widowControl w:val="0"/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571389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Переваг</w:t>
      </w:r>
      <w:r w:rsidR="009D3BF7">
        <w:rPr>
          <w:rFonts w:ascii="Times New Roman" w:hAnsi="Times New Roman" w:cs="Times New Roman"/>
          <w:b/>
          <w:caps/>
          <w:sz w:val="28"/>
          <w:szCs w:val="28"/>
          <w:lang w:val="uk-UA"/>
        </w:rPr>
        <w:t>А</w:t>
      </w:r>
      <w:r w:rsidRPr="00571389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комбінованої системи розподільчої генерації</w:t>
      </w:r>
    </w:p>
    <w:p w:rsidR="00BF415F" w:rsidRPr="00BF415F" w:rsidRDefault="00BF415F" w:rsidP="009B757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розподільчої генерації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майже набули статусу обов’язкової частини систем електропостачання</w:t>
      </w:r>
      <w:r w:rsidR="006D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C64" w:rsidRPr="00BF415F">
        <w:rPr>
          <w:rFonts w:ascii="Times New Roman" w:hAnsi="Times New Roman" w:cs="Times New Roman"/>
          <w:sz w:val="28"/>
          <w:szCs w:val="28"/>
          <w:lang w:val="uk-UA"/>
        </w:rPr>
        <w:t>[1]</w:t>
      </w:r>
      <w:r>
        <w:rPr>
          <w:rFonts w:ascii="Times New Roman" w:hAnsi="Times New Roman" w:cs="Times New Roman"/>
          <w:sz w:val="28"/>
          <w:szCs w:val="28"/>
          <w:lang w:val="uk-UA"/>
        </w:rPr>
        <w:t>, що пояснюється прагненням підвищити надійність електропостачання, а також бажанням зменшення витрат на електричну енергію</w:t>
      </w:r>
      <w:r w:rsidR="006D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C64" w:rsidRPr="00BF415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D0C6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0C64" w:rsidRPr="00BF415F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 Виходячи із зазначених умов</w:t>
      </w:r>
      <w:r w:rsidR="009544D4">
        <w:rPr>
          <w:rFonts w:ascii="Times New Roman" w:hAnsi="Times New Roman" w:cs="Times New Roman"/>
          <w:sz w:val="28"/>
          <w:szCs w:val="28"/>
          <w:lang w:val="uk-UA"/>
        </w:rPr>
        <w:t xml:space="preserve"> та значного потенціалу для розвитку альтернативної електроенергетики на північному Причорномор’ї </w:t>
      </w:r>
      <w:r w:rsidR="009544D4" w:rsidRPr="00BF415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544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544D4" w:rsidRPr="00BF415F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найбільш придатним рішенням є застосування комбінованих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біструмових</w:t>
      </w:r>
      <w:proofErr w:type="spellEnd"/>
      <w:r w:rsidR="0053504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535049">
        <w:rPr>
          <w:rFonts w:ascii="Times New Roman" w:hAnsi="Times New Roman" w:cs="Times New Roman"/>
          <w:sz w:val="28"/>
          <w:szCs w:val="28"/>
          <w:lang w:val="uk-UA"/>
        </w:rPr>
        <w:t>КБ</w:t>
      </w:r>
      <w:proofErr w:type="spellEnd"/>
      <w:r w:rsidR="0053504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544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відрізняються більш широкими можливостями генерації та мають менші втрати потужності при розподілі електричної енергії 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C021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BF7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акож </w:t>
      </w:r>
      <w:r w:rsidR="0053504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35049" w:rsidRPr="00BF415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350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35049" w:rsidRPr="00BF415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35049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оптимальні параметри цієї системи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проте </w:t>
      </w:r>
      <w:r w:rsidR="00535049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6D0C64">
        <w:rPr>
          <w:rFonts w:ascii="Times New Roman" w:hAnsi="Times New Roman" w:cs="Times New Roman"/>
          <w:sz w:val="28"/>
          <w:szCs w:val="28"/>
          <w:lang w:val="uk-UA"/>
        </w:rPr>
        <w:t>потребує відповідного обґрунтування</w:t>
      </w:r>
      <w:r w:rsidR="009D3B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04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9D3BF7">
        <w:rPr>
          <w:rFonts w:ascii="Times New Roman" w:hAnsi="Times New Roman" w:cs="Times New Roman"/>
          <w:sz w:val="28"/>
          <w:szCs w:val="28"/>
          <w:lang w:val="uk-UA"/>
        </w:rPr>
        <w:t>її переважного застосування</w:t>
      </w:r>
      <w:r w:rsidR="006D0C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415F" w:rsidRPr="006D0C64" w:rsidRDefault="006D0C64" w:rsidP="009B757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C64">
        <w:rPr>
          <w:rFonts w:ascii="Times New Roman" w:hAnsi="Times New Roman" w:cs="Times New Roman"/>
          <w:b/>
          <w:sz w:val="28"/>
          <w:szCs w:val="28"/>
          <w:lang w:val="uk-UA"/>
        </w:rPr>
        <w:t>Мета роботи</w:t>
      </w:r>
      <w:r w:rsidRPr="006D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D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переваги </w:t>
      </w:r>
      <w:proofErr w:type="spellStart"/>
      <w:r w:rsidR="00535049">
        <w:rPr>
          <w:rFonts w:ascii="Times New Roman" w:hAnsi="Times New Roman" w:cs="Times New Roman"/>
          <w:sz w:val="28"/>
          <w:szCs w:val="28"/>
          <w:lang w:val="uk-UA"/>
        </w:rPr>
        <w:t>КБ</w:t>
      </w:r>
      <w:proofErr w:type="spellEnd"/>
      <w:r w:rsidRPr="006D0C64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9D3BF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D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0C64">
        <w:rPr>
          <w:rFonts w:ascii="Times New Roman" w:hAnsi="Times New Roman" w:cs="Times New Roman"/>
          <w:sz w:val="28"/>
          <w:szCs w:val="28"/>
          <w:lang w:val="uk-UA"/>
        </w:rPr>
        <w:t>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точки зору ефективності генерації.</w:t>
      </w:r>
    </w:p>
    <w:p w:rsidR="00BF415F" w:rsidRDefault="00606D12" w:rsidP="009B757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Доведення переваги </w:t>
      </w:r>
      <w:proofErr w:type="spellStart"/>
      <w:r w:rsidR="008C366C">
        <w:rPr>
          <w:rFonts w:ascii="Times New Roman" w:hAnsi="Times New Roman" w:cs="Times New Roman"/>
          <w:sz w:val="28"/>
          <w:szCs w:val="28"/>
          <w:lang w:val="uk-UA"/>
        </w:rPr>
        <w:t>КБ</w:t>
      </w:r>
      <w:proofErr w:type="spellEnd"/>
      <w:r w:rsidRPr="006D0C64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8872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D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0C64">
        <w:rPr>
          <w:rFonts w:ascii="Times New Roman" w:hAnsi="Times New Roman" w:cs="Times New Roman"/>
          <w:sz w:val="28"/>
          <w:szCs w:val="28"/>
          <w:lang w:val="uk-UA"/>
        </w:rPr>
        <w:t>РГ</w:t>
      </w:r>
      <w:proofErr w:type="spellEnd"/>
      <w:r w:rsidR="00887236">
        <w:rPr>
          <w:rFonts w:ascii="Times New Roman" w:hAnsi="Times New Roman" w:cs="Times New Roman"/>
          <w:sz w:val="28"/>
          <w:szCs w:val="28"/>
          <w:lang w:val="uk-UA"/>
        </w:rPr>
        <w:t xml:space="preserve"> (рис. 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виконується на основі порівняння ї</w:t>
      </w:r>
      <w:r w:rsidR="0088723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показників з фотоелектричною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8C366C">
        <w:rPr>
          <w:rFonts w:ascii="Times New Roman" w:hAnsi="Times New Roman" w:cs="Times New Roman"/>
          <w:sz w:val="28"/>
          <w:szCs w:val="28"/>
          <w:lang w:val="uk-UA"/>
        </w:rPr>
        <w:t>ФЕ</w:t>
      </w:r>
      <w:proofErr w:type="spellEnd"/>
      <w:r w:rsidR="008C366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вітроенергетичної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8C366C">
        <w:rPr>
          <w:rFonts w:ascii="Times New Roman" w:hAnsi="Times New Roman" w:cs="Times New Roman"/>
          <w:sz w:val="28"/>
          <w:szCs w:val="28"/>
          <w:lang w:val="uk-UA"/>
        </w:rPr>
        <w:t>ВЕ</w:t>
      </w:r>
      <w:proofErr w:type="spellEnd"/>
      <w:r w:rsidR="008C366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системами, котрі є відповідними складовими частинами комбінованої системи</w:t>
      </w:r>
      <w:r w:rsidR="00A73402">
        <w:rPr>
          <w:rFonts w:ascii="Times New Roman" w:hAnsi="Times New Roman" w:cs="Times New Roman"/>
          <w:sz w:val="28"/>
          <w:szCs w:val="28"/>
          <w:lang w:val="uk-UA"/>
        </w:rPr>
        <w:t xml:space="preserve"> і можуть застосовуватися окремо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06D12" w:rsidRDefault="00606D12" w:rsidP="009B757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якості критеріїв порівняння обрано відносні втрати потужності</w:t>
      </w:r>
      <w:r w:rsidR="00CF7CD8">
        <w:rPr>
          <w:rFonts w:ascii="Times New Roman" w:hAnsi="Times New Roman" w:cs="Times New Roman"/>
          <w:sz w:val="28"/>
          <w:szCs w:val="28"/>
          <w:lang w:val="uk-UA"/>
        </w:rPr>
        <w:t xml:space="preserve">, наближена 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>питома</w:t>
      </w:r>
      <w:r w:rsidR="00CF7CD8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пристроїв генерації</w:t>
      </w:r>
      <w:r w:rsidR="0092331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наближена усереднена </w:t>
      </w:r>
      <w:r w:rsidR="00CF7CD8">
        <w:rPr>
          <w:rFonts w:ascii="Times New Roman" w:hAnsi="Times New Roman" w:cs="Times New Roman"/>
          <w:sz w:val="28"/>
          <w:szCs w:val="28"/>
          <w:lang w:val="uk-UA"/>
        </w:rPr>
        <w:t>ємність акумуляторів</w:t>
      </w:r>
      <w:r w:rsidR="00AD6C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3311">
        <w:rPr>
          <w:rFonts w:ascii="Times New Roman" w:hAnsi="Times New Roman" w:cs="Times New Roman"/>
          <w:sz w:val="28"/>
          <w:szCs w:val="28"/>
          <w:lang w:val="uk-UA"/>
        </w:rPr>
        <w:t xml:space="preserve"> коефіцієнт вірогідного запасу потужності</w:t>
      </w:r>
      <w:r w:rsidR="00AD6C05">
        <w:rPr>
          <w:rFonts w:ascii="Times New Roman" w:hAnsi="Times New Roman" w:cs="Times New Roman"/>
          <w:sz w:val="28"/>
          <w:szCs w:val="28"/>
          <w:lang w:val="uk-UA"/>
        </w:rPr>
        <w:t xml:space="preserve"> та вірогідність альтернативної генерації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 Перший критерій визначає пряму ефективність роботи системи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>.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ругий є основою 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капітальних витрат на створення системи </w:t>
      </w:r>
      <w:proofErr w:type="spellStart"/>
      <w:r w:rsidR="008C366C">
        <w:rPr>
          <w:rFonts w:ascii="Times New Roman" w:hAnsi="Times New Roman" w:cs="Times New Roman"/>
          <w:sz w:val="28"/>
          <w:szCs w:val="28"/>
          <w:lang w:val="uk-UA"/>
        </w:rPr>
        <w:t>РГ</w:t>
      </w:r>
      <w:proofErr w:type="spellEnd"/>
      <w:r w:rsidR="008C366C">
        <w:rPr>
          <w:rFonts w:ascii="Times New Roman" w:hAnsi="Times New Roman" w:cs="Times New Roman"/>
          <w:sz w:val="28"/>
          <w:szCs w:val="28"/>
          <w:lang w:val="uk-UA"/>
        </w:rPr>
        <w:t>. Є</w:t>
      </w:r>
      <w:r>
        <w:rPr>
          <w:rFonts w:ascii="Times New Roman" w:hAnsi="Times New Roman" w:cs="Times New Roman"/>
          <w:sz w:val="28"/>
          <w:szCs w:val="28"/>
          <w:lang w:val="uk-UA"/>
        </w:rPr>
        <w:t>мн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акумуляторів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 xml:space="preserve"> визначає їх </w:t>
      </w:r>
      <w:r>
        <w:rPr>
          <w:rFonts w:ascii="Times New Roman" w:hAnsi="Times New Roman" w:cs="Times New Roman"/>
          <w:sz w:val="28"/>
          <w:szCs w:val="28"/>
          <w:lang w:val="uk-UA"/>
        </w:rPr>
        <w:t>вартість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котр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являється значною частиною вартості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всієї системи</w:t>
      </w:r>
      <w:r w:rsidR="008C3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366C">
        <w:rPr>
          <w:rFonts w:ascii="Times New Roman" w:hAnsi="Times New Roman" w:cs="Times New Roman"/>
          <w:sz w:val="28"/>
          <w:szCs w:val="28"/>
          <w:lang w:val="uk-UA"/>
        </w:rPr>
        <w:t>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3311">
        <w:rPr>
          <w:rFonts w:ascii="Times New Roman" w:hAnsi="Times New Roman" w:cs="Times New Roman"/>
          <w:sz w:val="28"/>
          <w:szCs w:val="28"/>
          <w:lang w:val="uk-UA"/>
        </w:rPr>
        <w:t xml:space="preserve"> Коефіцієнт вірогідного запасу потужності показує співвідношення вірогідної загальної генерації з урахуванням повного заряду акумуляторів </w:t>
      </w:r>
      <w:r w:rsidR="00A7340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2331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витрати електричної енергії</w:t>
      </w:r>
      <w:r w:rsidR="00A73402" w:rsidRPr="00A73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402">
        <w:rPr>
          <w:rFonts w:ascii="Times New Roman" w:hAnsi="Times New Roman" w:cs="Times New Roman"/>
          <w:sz w:val="28"/>
          <w:szCs w:val="28"/>
          <w:lang w:val="uk-UA"/>
        </w:rPr>
        <w:t>на добу</w:t>
      </w:r>
      <w:r w:rsidR="009233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6C05">
        <w:rPr>
          <w:rFonts w:ascii="Times New Roman" w:hAnsi="Times New Roman" w:cs="Times New Roman"/>
          <w:sz w:val="28"/>
          <w:szCs w:val="28"/>
          <w:lang w:val="uk-UA"/>
        </w:rPr>
        <w:t xml:space="preserve"> Вірогідність альтернативної генерації показує вірогідність генерації альтернативного джерела – сонячних панелей або вітроенергетичної установки. Вона розраховується наближено, виходячи з двійкової логіки. </w:t>
      </w:r>
    </w:p>
    <w:p w:rsidR="00F66AA7" w:rsidRPr="003F0AF0" w:rsidRDefault="003F0AF0" w:rsidP="009B7573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0AF0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39486" cy="20467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-21.jpg"/>
                    <pic:cNvPicPr/>
                  </pic:nvPicPr>
                  <pic:blipFill>
                    <a:blip r:embed="rId5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563" cy="206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AA7" w:rsidRPr="00BB7BC9" w:rsidRDefault="00F66AA7" w:rsidP="009B7573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B7BC9">
        <w:rPr>
          <w:rFonts w:ascii="Times New Roman" w:hAnsi="Times New Roman"/>
          <w:sz w:val="28"/>
          <w:szCs w:val="28"/>
          <w:lang w:val="uk-UA"/>
        </w:rPr>
        <w:t>Рис. 1. Узагальнена схема типов</w:t>
      </w:r>
      <w:r w:rsidR="00A00988">
        <w:rPr>
          <w:rFonts w:ascii="Times New Roman" w:hAnsi="Times New Roman"/>
          <w:sz w:val="28"/>
          <w:szCs w:val="28"/>
          <w:lang w:val="uk-UA"/>
        </w:rPr>
        <w:t>ої</w:t>
      </w:r>
      <w:r w:rsidRPr="00BB7BC9">
        <w:rPr>
          <w:rFonts w:ascii="Times New Roman" w:hAnsi="Times New Roman"/>
          <w:sz w:val="28"/>
          <w:szCs w:val="28"/>
          <w:lang w:val="uk-UA"/>
        </w:rPr>
        <w:t xml:space="preserve"> комбінованої </w:t>
      </w:r>
      <w:proofErr w:type="spellStart"/>
      <w:r w:rsidR="006D0C64">
        <w:rPr>
          <w:rFonts w:ascii="Times New Roman" w:hAnsi="Times New Roman"/>
          <w:sz w:val="28"/>
          <w:szCs w:val="28"/>
          <w:lang w:val="uk-UA"/>
        </w:rPr>
        <w:t>біструмової</w:t>
      </w:r>
      <w:proofErr w:type="spellEnd"/>
      <w:r w:rsidR="006D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7BC9">
        <w:rPr>
          <w:rFonts w:ascii="Times New Roman" w:hAnsi="Times New Roman"/>
          <w:sz w:val="28"/>
          <w:szCs w:val="28"/>
          <w:lang w:val="uk-UA"/>
        </w:rPr>
        <w:t>системи</w:t>
      </w:r>
      <w:r w:rsidR="002962B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962BD">
        <w:rPr>
          <w:rFonts w:ascii="Times New Roman" w:hAnsi="Times New Roman"/>
          <w:sz w:val="28"/>
          <w:szCs w:val="28"/>
          <w:lang w:val="uk-UA"/>
        </w:rPr>
        <w:t>РГ</w:t>
      </w:r>
      <w:proofErr w:type="spellEnd"/>
      <w:r w:rsidRPr="00BB7B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7236" w:rsidRDefault="008C366C" w:rsidP="009B757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втрат потужності виконано за методикою, яка наведена у 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визначення часу генерації наближено прийнято на основі статистичних даних, які </w:t>
      </w:r>
      <w:r w:rsidR="00A73402">
        <w:rPr>
          <w:rFonts w:ascii="Times New Roman" w:hAnsi="Times New Roman" w:cs="Times New Roman"/>
          <w:sz w:val="28"/>
          <w:szCs w:val="28"/>
          <w:lang w:val="uk-UA"/>
        </w:rPr>
        <w:t>викладені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F415F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При розрахунку питомої вартості пристроїв генерації приймається, що вартість </w:t>
      </w:r>
      <w:proofErr w:type="spellStart"/>
      <w:r w:rsidR="00A73402">
        <w:rPr>
          <w:rFonts w:ascii="Times New Roman" w:hAnsi="Times New Roman" w:cs="Times New Roman"/>
          <w:sz w:val="28"/>
          <w:szCs w:val="28"/>
          <w:lang w:val="uk-UA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приблизно у двічі більше ніж вартість сонячних панелей. Під питомою вартості розуміється ціна обладнання генерації на один кіловат номінальної потужності. Порівняння виконано на основі методу відносних порівняльних оцінок</w:t>
      </w:r>
      <w:r w:rsidR="0092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311" w:rsidRPr="00BF415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233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23311" w:rsidRPr="00BF415F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887236">
        <w:rPr>
          <w:rFonts w:ascii="Times New Roman" w:hAnsi="Times New Roman"/>
          <w:color w:val="000000"/>
          <w:sz w:val="28"/>
          <w:szCs w:val="28"/>
          <w:lang w:val="uk-UA"/>
        </w:rPr>
        <w:t xml:space="preserve">сі результати розрахунків зведено у табл. 1. </w:t>
      </w:r>
    </w:p>
    <w:p w:rsidR="00326E41" w:rsidRDefault="002E7653" w:rsidP="009B757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 відносними втратами потужності всі системи приблизно є однаковими, різниці знаходиться на рівні припустимої розрахункової похибки. За питомою відносною вартістю прогнозовано системи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  <w:proofErr w:type="spellStart"/>
      <w:r w:rsidR="009B7573">
        <w:rPr>
          <w:rFonts w:ascii="Times New Roman" w:hAnsi="Times New Roman"/>
          <w:color w:val="000000"/>
          <w:sz w:val="28"/>
          <w:szCs w:val="28"/>
          <w:lang w:val="uk-UA"/>
        </w:rPr>
        <w:t>ВЕ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установками коштують дорожче, тому програють </w:t>
      </w:r>
      <w:proofErr w:type="spellStart"/>
      <w:r w:rsidR="009B7573">
        <w:rPr>
          <w:rFonts w:ascii="Times New Roman" w:hAnsi="Times New Roman"/>
          <w:color w:val="000000"/>
          <w:sz w:val="28"/>
          <w:szCs w:val="28"/>
          <w:lang w:val="uk-UA"/>
        </w:rPr>
        <w:t>ФЕ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системі генерації, з іншого боку наявність вітряного генератору у складі системи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розширює можливості генерації за часом, що призводить до зменшення потрібної ємності акумуляторів. За коефіцієнтом вірогідного запасу потужності та вірогідністю альтернативної генерації </w:t>
      </w:r>
      <w:proofErr w:type="spellStart"/>
      <w:r w:rsidR="009B7573">
        <w:rPr>
          <w:rFonts w:ascii="Times New Roman" w:hAnsi="Times New Roman"/>
          <w:color w:val="000000"/>
          <w:sz w:val="28"/>
          <w:szCs w:val="28"/>
          <w:lang w:val="uk-UA"/>
        </w:rPr>
        <w:t>КБ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система є беззаперечним лідером. Таким чином, на підставі розрахунку відносних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порівняльних оцінок можна відмітити суттєву перевагу </w:t>
      </w:r>
      <w:proofErr w:type="spellStart"/>
      <w:r w:rsidR="009B7573">
        <w:rPr>
          <w:rFonts w:ascii="Times New Roman" w:hAnsi="Times New Roman"/>
          <w:color w:val="000000"/>
          <w:sz w:val="28"/>
          <w:szCs w:val="28"/>
          <w:lang w:val="uk-UA"/>
        </w:rPr>
        <w:t>КБ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системи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87236" w:rsidRDefault="008C366C" w:rsidP="009B7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Таблиця 1. Розрахунок відносних оцінок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85"/>
        <w:gridCol w:w="786"/>
        <w:gridCol w:w="786"/>
        <w:gridCol w:w="785"/>
        <w:gridCol w:w="786"/>
        <w:gridCol w:w="786"/>
        <w:gridCol w:w="785"/>
        <w:gridCol w:w="786"/>
        <w:gridCol w:w="786"/>
        <w:gridCol w:w="786"/>
        <w:gridCol w:w="787"/>
      </w:tblGrid>
      <w:tr w:rsidR="00CE4ABA" w:rsidRPr="008C366C" w:rsidTr="00572654">
        <w:trPr>
          <w:trHeight w:val="442"/>
          <w:jc w:val="center"/>
        </w:trPr>
        <w:tc>
          <w:tcPr>
            <w:tcW w:w="1050" w:type="dxa"/>
            <w:vMerge w:val="restart"/>
            <w:vAlign w:val="center"/>
          </w:tcPr>
          <w:p w:rsidR="00CE4ABA" w:rsidRPr="008C366C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Тип системи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РГ</w:t>
            </w:r>
            <w:proofErr w:type="spellEnd"/>
          </w:p>
        </w:tc>
        <w:tc>
          <w:tcPr>
            <w:tcW w:w="7857" w:type="dxa"/>
            <w:gridSpan w:val="10"/>
            <w:vAlign w:val="center"/>
          </w:tcPr>
          <w:p w:rsidR="00CE4ABA" w:rsidRPr="008C366C" w:rsidRDefault="00CE4ABA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Критерій</w:t>
            </w:r>
          </w:p>
        </w:tc>
        <w:tc>
          <w:tcPr>
            <w:tcW w:w="787" w:type="dxa"/>
            <w:vMerge w:val="restart"/>
            <w:textDirection w:val="btLr"/>
            <w:vAlign w:val="center"/>
          </w:tcPr>
          <w:p w:rsidR="00CE4ABA" w:rsidRPr="008C366C" w:rsidRDefault="00CE4ABA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:rsidR="00CC2646" w:rsidRPr="008C366C" w:rsidTr="00CE4ABA">
        <w:trPr>
          <w:cantSplit/>
          <w:trHeight w:val="1134"/>
          <w:jc w:val="center"/>
        </w:trPr>
        <w:tc>
          <w:tcPr>
            <w:tcW w:w="1050" w:type="dxa"/>
            <w:vMerge/>
            <w:vAlign w:val="center"/>
          </w:tcPr>
          <w:p w:rsidR="00CC2646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CC2646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Відносні втрати </w:t>
            </w:r>
          </w:p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потужності</w:t>
            </w:r>
          </w:p>
        </w:tc>
        <w:tc>
          <w:tcPr>
            <w:tcW w:w="1571" w:type="dxa"/>
            <w:gridSpan w:val="2"/>
            <w:vAlign w:val="center"/>
          </w:tcPr>
          <w:p w:rsidR="00CC2646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Питома </w:t>
            </w:r>
          </w:p>
          <w:p w:rsidR="00CC2646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відносна </w:t>
            </w:r>
          </w:p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вартість </w:t>
            </w:r>
          </w:p>
        </w:tc>
        <w:tc>
          <w:tcPr>
            <w:tcW w:w="1572" w:type="dxa"/>
            <w:gridSpan w:val="2"/>
            <w:vAlign w:val="center"/>
          </w:tcPr>
          <w:p w:rsidR="00CC2646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Ємність </w:t>
            </w:r>
          </w:p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акумуляторів</w:t>
            </w:r>
          </w:p>
        </w:tc>
        <w:tc>
          <w:tcPr>
            <w:tcW w:w="1571" w:type="dxa"/>
            <w:gridSpan w:val="2"/>
            <w:vAlign w:val="center"/>
          </w:tcPr>
          <w:p w:rsidR="00CC2646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Коефіцієнт вірогідного запасу </w:t>
            </w:r>
          </w:p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потужності</w:t>
            </w:r>
          </w:p>
        </w:tc>
        <w:tc>
          <w:tcPr>
            <w:tcW w:w="1572" w:type="dxa"/>
            <w:gridSpan w:val="2"/>
            <w:vAlign w:val="center"/>
          </w:tcPr>
          <w:p w:rsidR="00AD6C05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Вірогідність </w:t>
            </w:r>
            <w:r w:rsidR="00AD6C0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альтернативної </w:t>
            </w:r>
          </w:p>
          <w:p w:rsidR="00CC2646" w:rsidRPr="008C366C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генерації</w:t>
            </w:r>
          </w:p>
        </w:tc>
        <w:tc>
          <w:tcPr>
            <w:tcW w:w="787" w:type="dxa"/>
            <w:vMerge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C2646" w:rsidRPr="008C366C" w:rsidTr="00CE4ABA">
        <w:trPr>
          <w:cantSplit/>
          <w:trHeight w:val="1550"/>
          <w:jc w:val="center"/>
        </w:trPr>
        <w:tc>
          <w:tcPr>
            <w:tcW w:w="1050" w:type="dxa"/>
            <w:vMerge/>
            <w:vAlign w:val="center"/>
          </w:tcPr>
          <w:p w:rsidR="00CC2646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Величина, %</w:t>
            </w:r>
          </w:p>
        </w:tc>
        <w:tc>
          <w:tcPr>
            <w:tcW w:w="786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Відносна оцінка</w:t>
            </w:r>
          </w:p>
        </w:tc>
        <w:tc>
          <w:tcPr>
            <w:tcW w:w="786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Величина, в.о.</w:t>
            </w:r>
          </w:p>
        </w:tc>
        <w:tc>
          <w:tcPr>
            <w:tcW w:w="785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Відносна оцінка</w:t>
            </w:r>
          </w:p>
        </w:tc>
        <w:tc>
          <w:tcPr>
            <w:tcW w:w="786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Величина,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786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Відносна оцінка</w:t>
            </w:r>
          </w:p>
        </w:tc>
        <w:tc>
          <w:tcPr>
            <w:tcW w:w="785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Величина, в.о.</w:t>
            </w:r>
          </w:p>
        </w:tc>
        <w:tc>
          <w:tcPr>
            <w:tcW w:w="786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Відносна оцінка</w:t>
            </w:r>
          </w:p>
        </w:tc>
        <w:tc>
          <w:tcPr>
            <w:tcW w:w="786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Величина, в.о.</w:t>
            </w:r>
          </w:p>
        </w:tc>
        <w:tc>
          <w:tcPr>
            <w:tcW w:w="786" w:type="dxa"/>
            <w:textDirection w:val="btLr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Відносна оцінка</w:t>
            </w:r>
          </w:p>
        </w:tc>
        <w:tc>
          <w:tcPr>
            <w:tcW w:w="787" w:type="dxa"/>
            <w:vMerge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C2646" w:rsidRPr="008C366C" w:rsidTr="00CE4ABA">
        <w:trPr>
          <w:trHeight w:val="260"/>
          <w:jc w:val="center"/>
        </w:trPr>
        <w:tc>
          <w:tcPr>
            <w:tcW w:w="1050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</w:t>
            </w:r>
            <w:proofErr w:type="spellEnd"/>
          </w:p>
        </w:tc>
        <w:tc>
          <w:tcPr>
            <w:tcW w:w="785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4,77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12,2</w:t>
            </w:r>
          </w:p>
        </w:tc>
        <w:tc>
          <w:tcPr>
            <w:tcW w:w="785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86" w:type="dxa"/>
            <w:vAlign w:val="center"/>
          </w:tcPr>
          <w:p w:rsidR="00CC2646" w:rsidRPr="002F15B7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611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0,713</w:t>
            </w:r>
          </w:p>
        </w:tc>
        <w:tc>
          <w:tcPr>
            <w:tcW w:w="785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1,35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0,608</w:t>
            </w:r>
          </w:p>
        </w:tc>
        <w:tc>
          <w:tcPr>
            <w:tcW w:w="786" w:type="dxa"/>
            <w:vAlign w:val="center"/>
          </w:tcPr>
          <w:p w:rsidR="00CC2646" w:rsidRPr="00CE4ABA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A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786" w:type="dxa"/>
            <w:vAlign w:val="center"/>
          </w:tcPr>
          <w:p w:rsidR="00CC2646" w:rsidRPr="00CE4ABA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A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0,67</w:t>
            </w:r>
          </w:p>
        </w:tc>
        <w:tc>
          <w:tcPr>
            <w:tcW w:w="787" w:type="dxa"/>
            <w:vAlign w:val="center"/>
          </w:tcPr>
          <w:p w:rsidR="00CC2646" w:rsidRPr="00CC2646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C264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3,</w:t>
            </w:r>
            <w:r w:rsidR="00CE4AB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99</w:t>
            </w:r>
          </w:p>
        </w:tc>
      </w:tr>
      <w:tr w:rsidR="00CC2646" w:rsidRPr="008C366C" w:rsidTr="00CE4ABA">
        <w:trPr>
          <w:trHeight w:val="190"/>
          <w:jc w:val="center"/>
        </w:trPr>
        <w:tc>
          <w:tcPr>
            <w:tcW w:w="1050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</w:t>
            </w:r>
            <w:proofErr w:type="spellEnd"/>
          </w:p>
        </w:tc>
        <w:tc>
          <w:tcPr>
            <w:tcW w:w="785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5,16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0,924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57,6</w:t>
            </w:r>
          </w:p>
        </w:tc>
        <w:tc>
          <w:tcPr>
            <w:tcW w:w="785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0,212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436</w:t>
            </w:r>
          </w:p>
        </w:tc>
        <w:tc>
          <w:tcPr>
            <w:tcW w:w="786" w:type="dxa"/>
            <w:vAlign w:val="center"/>
          </w:tcPr>
          <w:p w:rsidR="00CC2646" w:rsidRPr="002F15B7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85" w:type="dxa"/>
            <w:vAlign w:val="center"/>
          </w:tcPr>
          <w:p w:rsidR="00CC2646" w:rsidRPr="00044592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0,676</w:t>
            </w:r>
          </w:p>
        </w:tc>
        <w:tc>
          <w:tcPr>
            <w:tcW w:w="786" w:type="dxa"/>
            <w:vAlign w:val="center"/>
          </w:tcPr>
          <w:p w:rsidR="00CC2646" w:rsidRPr="00CE4ABA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A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786" w:type="dxa"/>
            <w:vAlign w:val="center"/>
          </w:tcPr>
          <w:p w:rsidR="00CC2646" w:rsidRPr="00CE4ABA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A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0,67</w:t>
            </w:r>
          </w:p>
        </w:tc>
        <w:tc>
          <w:tcPr>
            <w:tcW w:w="787" w:type="dxa"/>
            <w:vAlign w:val="center"/>
          </w:tcPr>
          <w:p w:rsidR="00CC2646" w:rsidRPr="00CC2646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C2646" w:rsidRPr="00CC264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48</w:t>
            </w:r>
          </w:p>
        </w:tc>
      </w:tr>
      <w:tr w:rsidR="00CC2646" w:rsidRPr="008C366C" w:rsidTr="00CE4ABA">
        <w:trPr>
          <w:trHeight w:val="290"/>
          <w:jc w:val="center"/>
        </w:trPr>
        <w:tc>
          <w:tcPr>
            <w:tcW w:w="1050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КБ</w:t>
            </w:r>
            <w:proofErr w:type="spellEnd"/>
          </w:p>
        </w:tc>
        <w:tc>
          <w:tcPr>
            <w:tcW w:w="785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4,87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0,979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20,18</w:t>
            </w:r>
          </w:p>
        </w:tc>
        <w:tc>
          <w:tcPr>
            <w:tcW w:w="785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0,605</w:t>
            </w:r>
          </w:p>
        </w:tc>
        <w:tc>
          <w:tcPr>
            <w:tcW w:w="786" w:type="dxa"/>
            <w:vAlign w:val="center"/>
          </w:tcPr>
          <w:p w:rsidR="00CC2646" w:rsidRPr="00044592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580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0,752</w:t>
            </w:r>
          </w:p>
        </w:tc>
        <w:tc>
          <w:tcPr>
            <w:tcW w:w="785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86" w:type="dxa"/>
            <w:vAlign w:val="center"/>
          </w:tcPr>
          <w:p w:rsidR="00CC2646" w:rsidRPr="008C366C" w:rsidRDefault="00CC2646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86" w:type="dxa"/>
            <w:vAlign w:val="center"/>
          </w:tcPr>
          <w:p w:rsidR="00CC2646" w:rsidRPr="00CE4ABA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A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0,75</w:t>
            </w:r>
          </w:p>
        </w:tc>
        <w:tc>
          <w:tcPr>
            <w:tcW w:w="786" w:type="dxa"/>
            <w:vAlign w:val="center"/>
          </w:tcPr>
          <w:p w:rsidR="00CC2646" w:rsidRPr="00CE4ABA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A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87" w:type="dxa"/>
            <w:vAlign w:val="center"/>
          </w:tcPr>
          <w:p w:rsidR="00CC2646" w:rsidRPr="00CC2646" w:rsidRDefault="00CE4ABA" w:rsidP="009B757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CC2646" w:rsidRPr="00CC264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,3</w:t>
            </w:r>
            <w:r w:rsidR="00CC264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</w:tr>
    </w:tbl>
    <w:p w:rsidR="00326E41" w:rsidRDefault="00326E41" w:rsidP="009B75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134CB" w:rsidRPr="00BD5523" w:rsidRDefault="006134CB" w:rsidP="009B757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523">
        <w:rPr>
          <w:rFonts w:ascii="Times New Roman" w:hAnsi="Times New Roman" w:cs="Times New Roman"/>
          <w:b/>
          <w:sz w:val="28"/>
          <w:szCs w:val="28"/>
          <w:lang w:val="uk-UA"/>
        </w:rPr>
        <w:t>Висновки.</w:t>
      </w:r>
      <w:r w:rsidR="00326E41">
        <w:rPr>
          <w:rFonts w:ascii="Times New Roman" w:hAnsi="Times New Roman" w:cs="Times New Roman"/>
          <w:sz w:val="28"/>
          <w:szCs w:val="28"/>
          <w:lang w:val="uk-UA"/>
        </w:rPr>
        <w:t xml:space="preserve"> Запропонований порівняльний аналіз на основі відносних порівняльних оцінок беззаперечно демонструє перевагу </w:t>
      </w:r>
      <w:proofErr w:type="spellStart"/>
      <w:r w:rsidR="009B7573">
        <w:rPr>
          <w:rFonts w:ascii="Times New Roman" w:hAnsi="Times New Roman"/>
          <w:sz w:val="28"/>
          <w:szCs w:val="28"/>
          <w:lang w:val="uk-UA"/>
        </w:rPr>
        <w:t>КБ</w:t>
      </w:r>
      <w:proofErr w:type="spellEnd"/>
      <w:r w:rsidR="00326E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E41" w:rsidRPr="00BB7BC9">
        <w:rPr>
          <w:rFonts w:ascii="Times New Roman" w:hAnsi="Times New Roman"/>
          <w:sz w:val="28"/>
          <w:szCs w:val="28"/>
          <w:lang w:val="uk-UA"/>
        </w:rPr>
        <w:t>системи</w:t>
      </w:r>
      <w:r w:rsidR="00326E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26E41">
        <w:rPr>
          <w:rFonts w:ascii="Times New Roman" w:hAnsi="Times New Roman"/>
          <w:sz w:val="28"/>
          <w:szCs w:val="28"/>
          <w:lang w:val="uk-UA"/>
        </w:rPr>
        <w:t>РГ</w:t>
      </w:r>
      <w:proofErr w:type="spellEnd"/>
      <w:r w:rsidR="00C34A18" w:rsidRPr="00BD55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34CB" w:rsidRPr="00BD5523" w:rsidRDefault="006134CB" w:rsidP="009B7573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552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Література</w:t>
      </w:r>
    </w:p>
    <w:p w:rsidR="006D0C64" w:rsidRPr="00571389" w:rsidRDefault="006D0C64" w:rsidP="009B7573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Thornton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A.,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Rodríguez-Monroy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C.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Distributed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power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generation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United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States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Renewable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Sustainable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Energy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Reviews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2011,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vol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15,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issue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9, p. 4809-4817.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DOI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https://doi.org/10.1016/j.rser.2011.07.070.</w:t>
      </w:r>
    </w:p>
    <w:p w:rsidR="006D0C64" w:rsidRPr="00571389" w:rsidRDefault="006D0C64" w:rsidP="009B7573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Adebayo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Adeniyi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Daavid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Chinedu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James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Ujam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overview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distributed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generation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power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systems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International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Journal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Frontline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Research in Engineering and Technology, 2022, 01(01), 27–33.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DOI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6" w:history="1">
        <w:r w:rsidRPr="00571389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https://doi.org/10.56355/ijfret.2022.1.1.0001</w:t>
        </w:r>
      </w:hyperlink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B3F2E" w:rsidRDefault="00AB3F2E" w:rsidP="009B7573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Кімстач О., Чумак М. Потенціал розвитку альтернативної електроенергетики в Миколаївській області // Електромеханічні і енергозберігаючі системи, 2025, № 1 (68). С. 60-67,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doi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10.32782/2072-2052.2025.1.68.7.</w:t>
      </w:r>
    </w:p>
    <w:p w:rsidR="00AB3F2E" w:rsidRPr="00AB3F2E" w:rsidRDefault="004049BB" w:rsidP="004049BB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Kimstach</w:t>
      </w:r>
      <w:proofErr w:type="spellEnd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Meli</w:t>
      </w:r>
      <w:bookmarkStart w:id="0" w:name="_GoBack"/>
      <w:bookmarkEnd w:id="0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hov</w:t>
      </w:r>
      <w:proofErr w:type="spellEnd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Chymak</w:t>
      </w:r>
      <w:proofErr w:type="spellEnd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M</w:t>
      </w:r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Bi-current</w:t>
      </w:r>
      <w:proofErr w:type="spellEnd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system</w:t>
      </w:r>
      <w:proofErr w:type="spellEnd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distribution</w:t>
      </w:r>
      <w:proofErr w:type="spellEnd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04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generation</w:t>
      </w:r>
      <w:proofErr w:type="spellEnd"/>
      <w:r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//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Actual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scientific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research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modern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world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Journal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-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Pereiaslav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2022. -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Issue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9(89), p. 1, </w:t>
      </w:r>
      <w:proofErr w:type="spellStart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pp</w:t>
      </w:r>
      <w:proofErr w:type="spellEnd"/>
      <w:r w:rsidR="00AB3F2E" w:rsidRPr="00AB3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87-91.</w:t>
      </w:r>
    </w:p>
    <w:p w:rsidR="006C0CD3" w:rsidRPr="00571389" w:rsidRDefault="006C0CD3" w:rsidP="009B7573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Kimstach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O.Yu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Optimisation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Problem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Bi-current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System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Distribution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Generation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IEEE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5th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International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Conference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Modern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Electrical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Energy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System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MEES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2023,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Kremenchuk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Ukraine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2023,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pp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1-5, </w:t>
      </w:r>
      <w:proofErr w:type="spellStart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doi</w:t>
      </w:r>
      <w:proofErr w:type="spellEnd"/>
      <w:r w:rsidRPr="00571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10.1109/MEES61502.2023.10402508.</w:t>
      </w:r>
    </w:p>
    <w:p w:rsidR="00AB3F2E" w:rsidRPr="00BC0214" w:rsidRDefault="00571389" w:rsidP="009B7573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Кімстач О., Чумак М. Технічна перевага </w:t>
      </w:r>
      <w:proofErr w:type="spellStart"/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біструмової</w:t>
      </w:r>
      <w:proofErr w:type="spellEnd"/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системи розподіленої генерації // Вісник Хмельницького національного університету. Серія: Технічні науки, 2024, 331(1), С. 89-96. </w:t>
      </w:r>
      <w:proofErr w:type="spellStart"/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begin"/>
      </w:r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HYPERLINK "https://doi.org/10.31891/2307-5732-2024-331-15" </w:instrText>
      </w:r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separate"/>
      </w:r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doi</w:t>
      </w:r>
      <w:proofErr w:type="spellEnd"/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10.31891/2307-5732-2024-331-15</w:t>
      </w:r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BC02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AB3F2E" w:rsidRPr="00BC0214" w:rsidSect="0044684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vOT9b12cd41">
    <w:altName w:val="Times New Roman"/>
    <w:panose1 w:val="00000000000000000000"/>
    <w:charset w:val="00"/>
    <w:family w:val="roman"/>
    <w:notTrueType/>
    <w:pitch w:val="default"/>
  </w:font>
  <w:font w:name="AdvOTd168d80a.I">
    <w:altName w:val="Times New Roman"/>
    <w:panose1 w:val="00000000000000000000"/>
    <w:charset w:val="00"/>
    <w:family w:val="roman"/>
    <w:notTrueType/>
    <w:pitch w:val="default"/>
  </w:font>
  <w:font w:name="URWPalladioL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8EE"/>
    <w:multiLevelType w:val="hybridMultilevel"/>
    <w:tmpl w:val="2214D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3E3566"/>
    <w:multiLevelType w:val="hybridMultilevel"/>
    <w:tmpl w:val="77DE2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A25381"/>
    <w:multiLevelType w:val="singleLevel"/>
    <w:tmpl w:val="60B0B7FE"/>
    <w:lvl w:ilvl="0">
      <w:start w:val="1"/>
      <w:numFmt w:val="decimal"/>
      <w:lvlText w:val="%1."/>
      <w:lvlJc w:val="left"/>
      <w:pPr>
        <w:tabs>
          <w:tab w:val="num" w:pos="656"/>
        </w:tabs>
        <w:ind w:left="656" w:hanging="372"/>
      </w:pPr>
      <w:rPr>
        <w:rFonts w:hint="default"/>
      </w:rPr>
    </w:lvl>
  </w:abstractNum>
  <w:abstractNum w:abstractNumId="3">
    <w:nsid w:val="42C429E5"/>
    <w:multiLevelType w:val="hybridMultilevel"/>
    <w:tmpl w:val="E3A486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3317346"/>
    <w:multiLevelType w:val="hybridMultilevel"/>
    <w:tmpl w:val="474EE8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3C4833"/>
    <w:multiLevelType w:val="hybridMultilevel"/>
    <w:tmpl w:val="AF28333A"/>
    <w:lvl w:ilvl="0" w:tplc="4220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2"/>
  </w:compat>
  <w:rsids>
    <w:rsidRoot w:val="00285032"/>
    <w:rsid w:val="000108B1"/>
    <w:rsid w:val="00044592"/>
    <w:rsid w:val="00066A0A"/>
    <w:rsid w:val="000829B4"/>
    <w:rsid w:val="000D02FF"/>
    <w:rsid w:val="00144A29"/>
    <w:rsid w:val="001E1077"/>
    <w:rsid w:val="00280E70"/>
    <w:rsid w:val="00283F37"/>
    <w:rsid w:val="00285032"/>
    <w:rsid w:val="002962BD"/>
    <w:rsid w:val="002C01CD"/>
    <w:rsid w:val="002E7653"/>
    <w:rsid w:val="002F15B7"/>
    <w:rsid w:val="003107FE"/>
    <w:rsid w:val="00326E41"/>
    <w:rsid w:val="00352BEA"/>
    <w:rsid w:val="003A0E0B"/>
    <w:rsid w:val="003E4F3F"/>
    <w:rsid w:val="003F0AF0"/>
    <w:rsid w:val="004049BB"/>
    <w:rsid w:val="00404AB6"/>
    <w:rsid w:val="0043698D"/>
    <w:rsid w:val="00443E66"/>
    <w:rsid w:val="00446846"/>
    <w:rsid w:val="00477A74"/>
    <w:rsid w:val="004B38A9"/>
    <w:rsid w:val="00534374"/>
    <w:rsid w:val="00535049"/>
    <w:rsid w:val="0055781E"/>
    <w:rsid w:val="00557905"/>
    <w:rsid w:val="00571389"/>
    <w:rsid w:val="00572654"/>
    <w:rsid w:val="005B54BA"/>
    <w:rsid w:val="005C682F"/>
    <w:rsid w:val="00606D12"/>
    <w:rsid w:val="006134CB"/>
    <w:rsid w:val="00623735"/>
    <w:rsid w:val="0063557A"/>
    <w:rsid w:val="006C0CD3"/>
    <w:rsid w:val="006D0C64"/>
    <w:rsid w:val="006D7491"/>
    <w:rsid w:val="006E2D9C"/>
    <w:rsid w:val="006F6FD6"/>
    <w:rsid w:val="0072065D"/>
    <w:rsid w:val="007235C6"/>
    <w:rsid w:val="0073578E"/>
    <w:rsid w:val="00737364"/>
    <w:rsid w:val="00742B88"/>
    <w:rsid w:val="007E2A14"/>
    <w:rsid w:val="00844263"/>
    <w:rsid w:val="00855C4E"/>
    <w:rsid w:val="008842CB"/>
    <w:rsid w:val="00887236"/>
    <w:rsid w:val="008C366C"/>
    <w:rsid w:val="008C4152"/>
    <w:rsid w:val="00923311"/>
    <w:rsid w:val="00943829"/>
    <w:rsid w:val="009544D4"/>
    <w:rsid w:val="009746C8"/>
    <w:rsid w:val="009905C5"/>
    <w:rsid w:val="00995100"/>
    <w:rsid w:val="009A372A"/>
    <w:rsid w:val="009B7573"/>
    <w:rsid w:val="009C57E4"/>
    <w:rsid w:val="009D3BF7"/>
    <w:rsid w:val="009E55C6"/>
    <w:rsid w:val="00A00988"/>
    <w:rsid w:val="00A353F6"/>
    <w:rsid w:val="00A60B23"/>
    <w:rsid w:val="00A619A9"/>
    <w:rsid w:val="00A71E75"/>
    <w:rsid w:val="00A73402"/>
    <w:rsid w:val="00A90C5C"/>
    <w:rsid w:val="00AA32B4"/>
    <w:rsid w:val="00AA5844"/>
    <w:rsid w:val="00AB3F2E"/>
    <w:rsid w:val="00AD6C05"/>
    <w:rsid w:val="00AE47D6"/>
    <w:rsid w:val="00B76AAB"/>
    <w:rsid w:val="00BC0214"/>
    <w:rsid w:val="00BD5523"/>
    <w:rsid w:val="00BF415F"/>
    <w:rsid w:val="00C31D68"/>
    <w:rsid w:val="00C34A18"/>
    <w:rsid w:val="00C35564"/>
    <w:rsid w:val="00C40739"/>
    <w:rsid w:val="00C9224B"/>
    <w:rsid w:val="00CC2646"/>
    <w:rsid w:val="00CE4ABA"/>
    <w:rsid w:val="00CF3798"/>
    <w:rsid w:val="00CF7CD8"/>
    <w:rsid w:val="00D339F6"/>
    <w:rsid w:val="00D54D0E"/>
    <w:rsid w:val="00D55BE2"/>
    <w:rsid w:val="00D571FE"/>
    <w:rsid w:val="00D92330"/>
    <w:rsid w:val="00DB799E"/>
    <w:rsid w:val="00E02604"/>
    <w:rsid w:val="00E34ABA"/>
    <w:rsid w:val="00E36C7C"/>
    <w:rsid w:val="00E86685"/>
    <w:rsid w:val="00EA2F71"/>
    <w:rsid w:val="00F144B7"/>
    <w:rsid w:val="00F64C4A"/>
    <w:rsid w:val="00F66AA7"/>
    <w:rsid w:val="00FB4ACA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E663B-C758-45C7-A47E-EF8612A0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4A"/>
  </w:style>
  <w:style w:type="paragraph" w:styleId="3">
    <w:name w:val="heading 3"/>
    <w:basedOn w:val="a"/>
    <w:link w:val="30"/>
    <w:uiPriority w:val="9"/>
    <w:qFormat/>
    <w:rsid w:val="00B76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D9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76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76AAB"/>
    <w:rPr>
      <w:b/>
      <w:bCs/>
    </w:rPr>
  </w:style>
  <w:style w:type="character" w:customStyle="1" w:styleId="fontstyle01">
    <w:name w:val="fontstyle01"/>
    <w:basedOn w:val="a0"/>
    <w:rsid w:val="00737364"/>
    <w:rPr>
      <w:rFonts w:ascii="AdvOT9b12cd41" w:hAnsi="AdvOT9b12cd41" w:hint="default"/>
      <w:b w:val="0"/>
      <w:bCs w:val="0"/>
      <w:i w:val="0"/>
      <w:iCs w:val="0"/>
      <w:color w:val="272727"/>
      <w:sz w:val="14"/>
      <w:szCs w:val="14"/>
    </w:rPr>
  </w:style>
  <w:style w:type="character" w:customStyle="1" w:styleId="fontstyle21">
    <w:name w:val="fontstyle21"/>
    <w:basedOn w:val="a0"/>
    <w:rsid w:val="00737364"/>
    <w:rPr>
      <w:rFonts w:ascii="AdvOTd168d80a.I" w:hAnsi="AdvOTd168d80a.I" w:hint="default"/>
      <w:b w:val="0"/>
      <w:bCs w:val="0"/>
      <w:i w:val="0"/>
      <w:iCs w:val="0"/>
      <w:color w:val="272727"/>
      <w:sz w:val="14"/>
      <w:szCs w:val="14"/>
    </w:rPr>
  </w:style>
  <w:style w:type="character" w:customStyle="1" w:styleId="fontstyle31">
    <w:name w:val="fontstyle31"/>
    <w:basedOn w:val="a0"/>
    <w:rsid w:val="00A60B23"/>
    <w:rPr>
      <w:rFonts w:ascii="URWPalladioL-Bold" w:hAnsi="URWPalladioL-Bold" w:hint="default"/>
      <w:b/>
      <w:bCs/>
      <w:i w:val="0"/>
      <w:iCs w:val="0"/>
      <w:color w:val="000000"/>
      <w:sz w:val="14"/>
      <w:szCs w:val="14"/>
    </w:rPr>
  </w:style>
  <w:style w:type="paragraph" w:styleId="a5">
    <w:name w:val="List Paragraph"/>
    <w:basedOn w:val="a"/>
    <w:uiPriority w:val="34"/>
    <w:qFormat/>
    <w:rsid w:val="006134CB"/>
    <w:pPr>
      <w:ind w:left="720"/>
      <w:contextualSpacing/>
    </w:pPr>
    <w:rPr>
      <w:lang w:val="en-GB"/>
    </w:rPr>
  </w:style>
  <w:style w:type="paragraph" w:styleId="a6">
    <w:name w:val="Body Text"/>
    <w:basedOn w:val="a"/>
    <w:link w:val="a7"/>
    <w:rsid w:val="006C0C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6C0CD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8">
    <w:name w:val="пр"/>
    <w:basedOn w:val="a"/>
    <w:rsid w:val="0073578E"/>
    <w:pPr>
      <w:spacing w:after="0" w:line="340" w:lineRule="auto"/>
      <w:ind w:right="-3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6355/ijfret.2022.1.1.00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Pups</cp:lastModifiedBy>
  <cp:revision>78</cp:revision>
  <dcterms:created xsi:type="dcterms:W3CDTF">2020-12-26T19:50:00Z</dcterms:created>
  <dcterms:modified xsi:type="dcterms:W3CDTF">2025-11-01T08:55:00Z</dcterms:modified>
</cp:coreProperties>
</file>