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18DB" w14:textId="63414B19" w:rsidR="00E1468C" w:rsidRPr="00E1468C" w:rsidRDefault="00E1468C" w:rsidP="00E1468C">
      <w:pPr>
        <w:shd w:val="clear" w:color="auto" w:fill="FFFFFF"/>
        <w:spacing w:after="0" w:line="360" w:lineRule="auto"/>
        <w:jc w:val="right"/>
        <w:rPr>
          <w:rFonts w:ascii="Times New Roman" w:eastAsia="Times New Roman" w:hAnsi="Times New Roman" w:cs="Times New Roman"/>
          <w:color w:val="333333"/>
          <w:sz w:val="28"/>
          <w:szCs w:val="28"/>
          <w:lang w:val="uk-UA"/>
        </w:rPr>
      </w:pPr>
      <w:r w:rsidRPr="00E1468C">
        <w:rPr>
          <w:rFonts w:ascii="Times New Roman" w:eastAsia="Times New Roman" w:hAnsi="Times New Roman" w:cs="Times New Roman"/>
          <w:color w:val="333333"/>
          <w:sz w:val="28"/>
          <w:szCs w:val="28"/>
          <w:lang w:val="uk-UA"/>
        </w:rPr>
        <w:t>Касапова Інна Сергіївна</w:t>
      </w:r>
    </w:p>
    <w:p w14:paraId="00417A8E" w14:textId="2758BC01" w:rsidR="00E1468C" w:rsidRPr="00E1468C" w:rsidRDefault="00E1468C" w:rsidP="00E1468C">
      <w:pPr>
        <w:shd w:val="clear" w:color="auto" w:fill="FFFFFF"/>
        <w:spacing w:after="0" w:line="360" w:lineRule="auto"/>
        <w:jc w:val="right"/>
        <w:rPr>
          <w:rFonts w:ascii="Times New Roman" w:eastAsia="Times New Roman" w:hAnsi="Times New Roman" w:cs="Times New Roman"/>
          <w:color w:val="333333"/>
          <w:sz w:val="28"/>
          <w:szCs w:val="28"/>
          <w:lang/>
        </w:rPr>
      </w:pPr>
      <w:r w:rsidRPr="00E1468C">
        <w:rPr>
          <w:rFonts w:ascii="Times New Roman" w:eastAsia="Times New Roman" w:hAnsi="Times New Roman" w:cs="Times New Roman"/>
          <w:color w:val="333333"/>
          <w:sz w:val="28"/>
          <w:szCs w:val="28"/>
          <w:lang w:val="uk-UA"/>
        </w:rPr>
        <w:t>Одеський технічний фаховий коледж ОНТУ, м. Одеса</w:t>
      </w:r>
      <w:r w:rsidRPr="00E1468C">
        <w:rPr>
          <w:rFonts w:ascii="Times New Roman" w:eastAsia="Times New Roman" w:hAnsi="Times New Roman" w:cs="Times New Roman"/>
          <w:color w:val="333333"/>
          <w:sz w:val="28"/>
          <w:szCs w:val="28"/>
          <w:lang/>
        </w:rPr>
        <w:t> </w:t>
      </w:r>
    </w:p>
    <w:p w14:paraId="6B0749C3" w14:textId="1D8A5413" w:rsidR="00E1468C" w:rsidRPr="00E1468C" w:rsidRDefault="00E1468C" w:rsidP="00E1468C">
      <w:pPr>
        <w:shd w:val="clear" w:color="auto" w:fill="FFFFFF"/>
        <w:spacing w:after="0" w:line="360" w:lineRule="auto"/>
        <w:jc w:val="right"/>
        <w:rPr>
          <w:rFonts w:ascii="Times New Roman" w:eastAsia="Times New Roman" w:hAnsi="Times New Roman" w:cs="Times New Roman"/>
          <w:color w:val="333333"/>
          <w:sz w:val="28"/>
          <w:szCs w:val="28"/>
          <w:lang w:val="uk-UA"/>
        </w:rPr>
      </w:pPr>
      <w:r w:rsidRPr="00E1468C">
        <w:rPr>
          <w:rFonts w:ascii="Times New Roman" w:eastAsia="Times New Roman" w:hAnsi="Times New Roman" w:cs="Times New Roman"/>
          <w:color w:val="333333"/>
          <w:sz w:val="28"/>
          <w:szCs w:val="28"/>
          <w:lang w:val="uk-UA"/>
        </w:rPr>
        <w:t>викладач економічних дисциплін</w:t>
      </w:r>
    </w:p>
    <w:p w14:paraId="11A5B62E" w14:textId="77777777" w:rsidR="00E1468C" w:rsidRPr="00E1468C" w:rsidRDefault="00E1468C" w:rsidP="00E1468C">
      <w:pPr>
        <w:shd w:val="clear" w:color="auto" w:fill="FFFFFF"/>
        <w:spacing w:after="0" w:line="360" w:lineRule="auto"/>
        <w:jc w:val="center"/>
        <w:rPr>
          <w:rFonts w:ascii="Times New Roman" w:eastAsia="Times New Roman" w:hAnsi="Times New Roman" w:cs="Times New Roman"/>
          <w:color w:val="333333"/>
          <w:sz w:val="28"/>
          <w:szCs w:val="28"/>
          <w:lang/>
        </w:rPr>
      </w:pPr>
    </w:p>
    <w:p w14:paraId="61155A65" w14:textId="77777777" w:rsidR="00E1468C" w:rsidRPr="00E1468C" w:rsidRDefault="00E1468C" w:rsidP="00E1468C">
      <w:pPr>
        <w:pStyle w:val="a3"/>
        <w:shd w:val="clear" w:color="auto" w:fill="FFFFFF"/>
        <w:spacing w:before="0" w:beforeAutospacing="0" w:after="0" w:afterAutospacing="0" w:line="360" w:lineRule="auto"/>
        <w:jc w:val="center"/>
        <w:rPr>
          <w:b/>
          <w:bCs/>
          <w:color w:val="000000"/>
          <w:sz w:val="28"/>
          <w:szCs w:val="28"/>
          <w:lang w:val="uk-UA"/>
        </w:rPr>
      </w:pPr>
      <w:r w:rsidRPr="00E1468C">
        <w:rPr>
          <w:b/>
          <w:bCs/>
          <w:color w:val="000000"/>
          <w:sz w:val="28"/>
          <w:szCs w:val="28"/>
          <w:lang w:val="uk-UA"/>
        </w:rPr>
        <w:t>ВПРОВАДЖЕННЯ МІЖНАРОДНИХ СТАНДАРТІВ ФІНАНСОВОЇ ЗВІТНОСТІ</w:t>
      </w:r>
    </w:p>
    <w:p w14:paraId="56C05B29" w14:textId="77777777" w:rsidR="00E1468C" w:rsidRPr="00E1468C" w:rsidRDefault="00E1468C" w:rsidP="00E1468C">
      <w:pPr>
        <w:shd w:val="clear" w:color="auto" w:fill="FFFFFF"/>
        <w:spacing w:after="0" w:line="360" w:lineRule="auto"/>
        <w:jc w:val="right"/>
        <w:rPr>
          <w:rFonts w:ascii="Times New Roman" w:eastAsia="Times New Roman" w:hAnsi="Times New Roman" w:cs="Times New Roman"/>
          <w:color w:val="333333"/>
          <w:sz w:val="28"/>
          <w:szCs w:val="28"/>
          <w:lang w:val="uk-UA"/>
        </w:rPr>
      </w:pPr>
    </w:p>
    <w:p w14:paraId="4F17C60D" w14:textId="77777777" w:rsidR="009D46F3" w:rsidRDefault="000C77AB" w:rsidP="00E1468C">
      <w:pPr>
        <w:pStyle w:val="a3"/>
        <w:spacing w:before="0" w:beforeAutospacing="0" w:after="0" w:afterAutospacing="0" w:line="360" w:lineRule="auto"/>
        <w:ind w:firstLine="567"/>
        <w:jc w:val="both"/>
        <w:rPr>
          <w:color w:val="000000"/>
          <w:sz w:val="28"/>
          <w:szCs w:val="28"/>
          <w:lang w:val="uk-UA"/>
        </w:rPr>
      </w:pPr>
      <w:r w:rsidRPr="00E1468C">
        <w:rPr>
          <w:color w:val="000000"/>
          <w:sz w:val="28"/>
          <w:szCs w:val="28"/>
          <w:lang w:val="uk-UA"/>
        </w:rPr>
        <w:t>Наближення української системи обліку до МСФЗ розпочалося</w:t>
      </w:r>
      <w:r w:rsidRPr="007C3449">
        <w:rPr>
          <w:color w:val="000000"/>
          <w:sz w:val="28"/>
          <w:szCs w:val="28"/>
          <w:lang w:val="uk-UA"/>
        </w:rPr>
        <w:t xml:space="preserve"> </w:t>
      </w:r>
      <w:r>
        <w:rPr>
          <w:color w:val="000000"/>
          <w:sz w:val="28"/>
          <w:szCs w:val="28"/>
          <w:lang w:val="uk-UA"/>
        </w:rPr>
        <w:t xml:space="preserve">ще </w:t>
      </w:r>
      <w:r w:rsidRPr="007C3449">
        <w:rPr>
          <w:color w:val="000000"/>
          <w:sz w:val="28"/>
          <w:szCs w:val="28"/>
          <w:lang w:val="uk-UA"/>
        </w:rPr>
        <w:t>в 1998 році з прийняттям урядом Програми реформування системи бухобліку із застосуванням МСБО (рішення від 29.10.1998</w:t>
      </w:r>
      <w:r w:rsidRPr="000C77AB">
        <w:rPr>
          <w:color w:val="000000"/>
          <w:sz w:val="28"/>
          <w:szCs w:val="28"/>
        </w:rPr>
        <w:t> </w:t>
      </w:r>
      <w:r w:rsidRPr="007C3449">
        <w:rPr>
          <w:color w:val="000000"/>
          <w:sz w:val="28"/>
          <w:szCs w:val="28"/>
          <w:lang w:val="uk-UA"/>
        </w:rPr>
        <w:t>р. №</w:t>
      </w:r>
      <w:r w:rsidRPr="000C77AB">
        <w:rPr>
          <w:color w:val="000000"/>
          <w:sz w:val="28"/>
          <w:szCs w:val="28"/>
        </w:rPr>
        <w:t> </w:t>
      </w:r>
      <w:r w:rsidRPr="007C3449">
        <w:rPr>
          <w:color w:val="000000"/>
          <w:sz w:val="28"/>
          <w:szCs w:val="28"/>
          <w:lang w:val="uk-UA"/>
        </w:rPr>
        <w:t>1706)</w:t>
      </w:r>
      <w:r>
        <w:rPr>
          <w:color w:val="000000"/>
          <w:sz w:val="28"/>
          <w:szCs w:val="28"/>
          <w:lang w:val="uk-UA"/>
        </w:rPr>
        <w:t>. [1]</w:t>
      </w:r>
    </w:p>
    <w:p w14:paraId="2F3DC230" w14:textId="7E42432B" w:rsidR="000C77AB" w:rsidRPr="009D46F3" w:rsidRDefault="000C77AB" w:rsidP="009D46F3">
      <w:pPr>
        <w:pStyle w:val="a3"/>
        <w:spacing w:before="0" w:beforeAutospacing="0" w:after="0" w:afterAutospacing="0" w:line="360" w:lineRule="auto"/>
        <w:ind w:firstLine="567"/>
        <w:jc w:val="both"/>
        <w:rPr>
          <w:color w:val="000000"/>
          <w:sz w:val="28"/>
          <w:szCs w:val="28"/>
          <w:lang w:val="uk-UA"/>
        </w:rPr>
      </w:pPr>
      <w:r w:rsidRPr="007C3449">
        <w:rPr>
          <w:color w:val="000000"/>
          <w:sz w:val="28"/>
          <w:szCs w:val="28"/>
          <w:lang w:val="uk-UA"/>
        </w:rPr>
        <w:t>В 1999 році було прийнято Закон «Про бухгалтерський облік та фінансову звітність в Україні», в статті першій якого міститься наступне положення:</w:t>
      </w:r>
      <w:r w:rsidR="009D46F3">
        <w:rPr>
          <w:color w:val="000000"/>
          <w:sz w:val="28"/>
          <w:szCs w:val="28"/>
          <w:lang w:val="uk-UA"/>
        </w:rPr>
        <w:t xml:space="preserve"> </w:t>
      </w:r>
      <w:r w:rsidRPr="007C3449">
        <w:rPr>
          <w:color w:val="000000"/>
          <w:sz w:val="28"/>
          <w:szCs w:val="28"/>
          <w:lang w:val="uk-UA"/>
        </w:rPr>
        <w:t>«Національне положення (стандарт) бухгалтерського обліку</w:t>
      </w:r>
      <w:r w:rsidRPr="000C77AB">
        <w:rPr>
          <w:color w:val="000000"/>
          <w:sz w:val="28"/>
          <w:szCs w:val="28"/>
        </w:rPr>
        <w:t> </w:t>
      </w:r>
      <w:r w:rsidRPr="007C3449">
        <w:rPr>
          <w:color w:val="000000"/>
          <w:sz w:val="28"/>
          <w:szCs w:val="28"/>
          <w:lang w:val="uk-UA"/>
        </w:rPr>
        <w:t>— нормативно-правовий акт, затверджений Міністерством фінансів України, який визначає принципи та методи ведення бухгалтерського обліку та складання фінансової звітності, що не суперечать міжнародним стандартам».</w:t>
      </w:r>
      <w:r>
        <w:rPr>
          <w:color w:val="000000"/>
          <w:sz w:val="28"/>
          <w:szCs w:val="28"/>
          <w:lang w:val="uk-UA"/>
        </w:rPr>
        <w:t xml:space="preserve"> </w:t>
      </w:r>
      <w:r w:rsidR="009D46F3">
        <w:rPr>
          <w:color w:val="000000"/>
          <w:sz w:val="28"/>
          <w:szCs w:val="28"/>
          <w:lang w:val="uk-UA"/>
        </w:rPr>
        <w:t xml:space="preserve"> [2]</w:t>
      </w:r>
    </w:p>
    <w:p w14:paraId="7B8EBF7A" w14:textId="663E7389" w:rsidR="000C77AB" w:rsidRPr="000C77AB" w:rsidRDefault="000C77AB" w:rsidP="009D46F3">
      <w:pPr>
        <w:pStyle w:val="a3"/>
        <w:spacing w:before="0" w:beforeAutospacing="0" w:after="0" w:afterAutospacing="0" w:line="360" w:lineRule="auto"/>
        <w:ind w:firstLine="567"/>
        <w:jc w:val="both"/>
        <w:rPr>
          <w:color w:val="000000"/>
          <w:sz w:val="28"/>
          <w:szCs w:val="28"/>
          <w:lang w:val="uk-UA"/>
        </w:rPr>
      </w:pPr>
      <w:r>
        <w:rPr>
          <w:color w:val="000000"/>
          <w:sz w:val="28"/>
          <w:szCs w:val="28"/>
          <w:lang w:val="uk-UA"/>
        </w:rPr>
        <w:t>В умовах прагнення українського суспільства до взаємопраці з країнами Європейського Союзу та інтеграції з ним</w:t>
      </w:r>
      <w:r w:rsidR="009D46F3">
        <w:rPr>
          <w:color w:val="000000"/>
          <w:sz w:val="28"/>
          <w:szCs w:val="28"/>
          <w:lang w:val="uk-UA"/>
        </w:rPr>
        <w:t>,</w:t>
      </w:r>
      <w:r>
        <w:rPr>
          <w:color w:val="000000"/>
          <w:sz w:val="28"/>
          <w:szCs w:val="28"/>
          <w:lang w:val="uk-UA"/>
        </w:rPr>
        <w:t xml:space="preserve"> уряд розпоч</w:t>
      </w:r>
      <w:r w:rsidR="009D46F3">
        <w:rPr>
          <w:color w:val="000000"/>
          <w:sz w:val="28"/>
          <w:szCs w:val="28"/>
          <w:lang w:val="uk-UA"/>
        </w:rPr>
        <w:t>ав</w:t>
      </w:r>
      <w:r>
        <w:rPr>
          <w:color w:val="000000"/>
          <w:sz w:val="28"/>
          <w:szCs w:val="28"/>
          <w:lang w:val="uk-UA"/>
        </w:rPr>
        <w:t xml:space="preserve"> розробляти </w:t>
      </w:r>
      <w:r w:rsidRPr="007C3449">
        <w:rPr>
          <w:color w:val="000000"/>
          <w:sz w:val="28"/>
          <w:szCs w:val="28"/>
          <w:lang w:val="uk-UA"/>
        </w:rPr>
        <w:t>стратегію застосування МСФЗ (розпорядження от 24.10.07 №</w:t>
      </w:r>
      <w:r w:rsidRPr="000C77AB">
        <w:rPr>
          <w:color w:val="000000"/>
          <w:sz w:val="28"/>
          <w:szCs w:val="28"/>
        </w:rPr>
        <w:t> </w:t>
      </w:r>
      <w:r w:rsidRPr="007C3449">
        <w:rPr>
          <w:color w:val="000000"/>
          <w:sz w:val="28"/>
          <w:szCs w:val="28"/>
          <w:lang w:val="uk-UA"/>
        </w:rPr>
        <w:t>911-р). Одним з головних напрямків там було визначено «законодавче регулювання порядку застосування міжнародних стандартів, зокрема з 2010 року обов'язкове складення фінансової звітності та консолідованої фінансової звітності згідно з міжнародними стандартами підприємствами-емітентами, цінні папери яких перебувають у лістингу організаторів торгівлі на фондовому ринку, банками і страховиками, за власним рішенням іншими емітентами цінних паперів і фінансовими установами».</w:t>
      </w:r>
      <w:r w:rsidR="009D46F3">
        <w:rPr>
          <w:color w:val="000000"/>
          <w:sz w:val="28"/>
          <w:szCs w:val="28"/>
          <w:lang w:val="uk-UA"/>
        </w:rPr>
        <w:t xml:space="preserve"> [3]</w:t>
      </w:r>
    </w:p>
    <w:p w14:paraId="2E54A84D" w14:textId="7EC053C4" w:rsidR="000C77AB" w:rsidRPr="007C3449" w:rsidRDefault="000C77AB" w:rsidP="009D46F3">
      <w:pPr>
        <w:pStyle w:val="a3"/>
        <w:spacing w:before="0" w:beforeAutospacing="0" w:after="0" w:afterAutospacing="0" w:line="360" w:lineRule="auto"/>
        <w:ind w:firstLine="567"/>
        <w:jc w:val="both"/>
        <w:rPr>
          <w:color w:val="000000"/>
          <w:sz w:val="28"/>
          <w:szCs w:val="28"/>
          <w:lang w:val="uk-UA"/>
        </w:rPr>
      </w:pPr>
      <w:r w:rsidRPr="007C3449">
        <w:rPr>
          <w:color w:val="000000"/>
          <w:sz w:val="28"/>
          <w:szCs w:val="28"/>
          <w:lang w:val="uk-UA"/>
        </w:rPr>
        <w:t>Відповідно до</w:t>
      </w:r>
      <w:r w:rsidRPr="000C77AB">
        <w:rPr>
          <w:color w:val="000000"/>
          <w:sz w:val="28"/>
          <w:szCs w:val="28"/>
        </w:rPr>
        <w:t> </w:t>
      </w:r>
      <w:bookmarkStart w:id="0" w:name="_Hlk128331137"/>
      <w:r w:rsidRPr="000C77AB">
        <w:rPr>
          <w:sz w:val="28"/>
          <w:szCs w:val="28"/>
        </w:rPr>
        <w:fldChar w:fldCharType="begin"/>
      </w:r>
      <w:r w:rsidRPr="007C3449">
        <w:rPr>
          <w:sz w:val="28"/>
          <w:szCs w:val="28"/>
          <w:lang w:val="uk-UA"/>
        </w:rPr>
        <w:instrText xml:space="preserve"> </w:instrText>
      </w:r>
      <w:r w:rsidRPr="000C77AB">
        <w:rPr>
          <w:sz w:val="28"/>
          <w:szCs w:val="28"/>
        </w:rPr>
        <w:instrText>HYPERLINK</w:instrText>
      </w:r>
      <w:r w:rsidRPr="007C3449">
        <w:rPr>
          <w:sz w:val="28"/>
          <w:szCs w:val="28"/>
          <w:lang w:val="uk-UA"/>
        </w:rPr>
        <w:instrText xml:space="preserve"> "</w:instrText>
      </w:r>
      <w:r w:rsidRPr="000C77AB">
        <w:rPr>
          <w:sz w:val="28"/>
          <w:szCs w:val="28"/>
        </w:rPr>
        <w:instrText>http</w:instrText>
      </w:r>
      <w:r w:rsidRPr="007C3449">
        <w:rPr>
          <w:sz w:val="28"/>
          <w:szCs w:val="28"/>
          <w:lang w:val="uk-UA"/>
        </w:rPr>
        <w:instrText>://</w:instrText>
      </w:r>
      <w:r w:rsidRPr="000C77AB">
        <w:rPr>
          <w:sz w:val="28"/>
          <w:szCs w:val="28"/>
        </w:rPr>
        <w:instrText>vobu</w:instrText>
      </w:r>
      <w:r w:rsidRPr="007C3449">
        <w:rPr>
          <w:sz w:val="28"/>
          <w:szCs w:val="28"/>
          <w:lang w:val="uk-UA"/>
        </w:rPr>
        <w:instrText>.</w:instrText>
      </w:r>
      <w:r w:rsidRPr="000C77AB">
        <w:rPr>
          <w:sz w:val="28"/>
          <w:szCs w:val="28"/>
        </w:rPr>
        <w:instrText>ua</w:instrText>
      </w:r>
      <w:r w:rsidRPr="007C3449">
        <w:rPr>
          <w:sz w:val="28"/>
          <w:szCs w:val="28"/>
          <w:lang w:val="uk-UA"/>
        </w:rPr>
        <w:instrText>/</w:instrText>
      </w:r>
      <w:r w:rsidRPr="000C77AB">
        <w:rPr>
          <w:sz w:val="28"/>
          <w:szCs w:val="28"/>
        </w:rPr>
        <w:instrText>ukr</w:instrText>
      </w:r>
      <w:r w:rsidRPr="007C3449">
        <w:rPr>
          <w:sz w:val="28"/>
          <w:szCs w:val="28"/>
          <w:lang w:val="uk-UA"/>
        </w:rPr>
        <w:instrText>/</w:instrText>
      </w:r>
      <w:r w:rsidRPr="000C77AB">
        <w:rPr>
          <w:sz w:val="28"/>
          <w:szCs w:val="28"/>
        </w:rPr>
        <w:instrText>documents</w:instrText>
      </w:r>
      <w:r w:rsidRPr="007C3449">
        <w:rPr>
          <w:sz w:val="28"/>
          <w:szCs w:val="28"/>
          <w:lang w:val="uk-UA"/>
        </w:rPr>
        <w:instrText>/</w:instrText>
      </w:r>
      <w:r w:rsidRPr="000C77AB">
        <w:rPr>
          <w:sz w:val="28"/>
          <w:szCs w:val="28"/>
        </w:rPr>
        <w:instrText>item</w:instrText>
      </w:r>
      <w:r w:rsidRPr="007C3449">
        <w:rPr>
          <w:sz w:val="28"/>
          <w:szCs w:val="28"/>
          <w:lang w:val="uk-UA"/>
        </w:rPr>
        <w:instrText>/</w:instrText>
      </w:r>
      <w:r w:rsidRPr="000C77AB">
        <w:rPr>
          <w:sz w:val="28"/>
          <w:szCs w:val="28"/>
        </w:rPr>
        <w:instrText>lyst</w:instrText>
      </w:r>
      <w:r w:rsidRPr="007C3449">
        <w:rPr>
          <w:sz w:val="28"/>
          <w:szCs w:val="28"/>
          <w:lang w:val="uk-UA"/>
        </w:rPr>
        <w:instrText>-</w:instrText>
      </w:r>
      <w:r w:rsidRPr="000C77AB">
        <w:rPr>
          <w:sz w:val="28"/>
          <w:szCs w:val="28"/>
        </w:rPr>
        <w:instrText>minfinu</w:instrText>
      </w:r>
      <w:r w:rsidRPr="007C3449">
        <w:rPr>
          <w:sz w:val="28"/>
          <w:szCs w:val="28"/>
          <w:lang w:val="uk-UA"/>
        </w:rPr>
        <w:instrText>-</w:instrText>
      </w:r>
      <w:r w:rsidRPr="000C77AB">
        <w:rPr>
          <w:sz w:val="28"/>
          <w:szCs w:val="28"/>
        </w:rPr>
        <w:instrText>ukrainy</w:instrText>
      </w:r>
      <w:r w:rsidRPr="007C3449">
        <w:rPr>
          <w:sz w:val="28"/>
          <w:szCs w:val="28"/>
          <w:lang w:val="uk-UA"/>
        </w:rPr>
        <w:instrText>-</w:instrText>
      </w:r>
      <w:r w:rsidRPr="000C77AB">
        <w:rPr>
          <w:sz w:val="28"/>
          <w:szCs w:val="28"/>
        </w:rPr>
        <w:instrText>vid</w:instrText>
      </w:r>
      <w:r w:rsidRPr="007C3449">
        <w:rPr>
          <w:sz w:val="28"/>
          <w:szCs w:val="28"/>
          <w:lang w:val="uk-UA"/>
        </w:rPr>
        <w:instrText>-291217-</w:instrText>
      </w:r>
      <w:r w:rsidRPr="000C77AB">
        <w:rPr>
          <w:sz w:val="28"/>
          <w:szCs w:val="28"/>
        </w:rPr>
        <w:instrText>r</w:instrText>
      </w:r>
      <w:r w:rsidRPr="007C3449">
        <w:rPr>
          <w:sz w:val="28"/>
          <w:szCs w:val="28"/>
          <w:lang w:val="uk-UA"/>
        </w:rPr>
        <w:instrText xml:space="preserve">-35210-06-5-37175" </w:instrText>
      </w:r>
      <w:r w:rsidRPr="000C77AB">
        <w:rPr>
          <w:sz w:val="28"/>
          <w:szCs w:val="28"/>
        </w:rPr>
        <w:fldChar w:fldCharType="separate"/>
      </w:r>
      <w:r w:rsidRPr="007C3449">
        <w:rPr>
          <w:rStyle w:val="a4"/>
          <w:color w:val="auto"/>
          <w:sz w:val="28"/>
          <w:szCs w:val="28"/>
          <w:u w:val="none"/>
          <w:lang w:val="uk-UA"/>
        </w:rPr>
        <w:t xml:space="preserve">Листа Мінфіну України від 29.12.17 р. № 35210-06-5/37175 </w:t>
      </w:r>
      <w:r w:rsidR="009D46F3">
        <w:rPr>
          <w:rStyle w:val="a4"/>
          <w:color w:val="auto"/>
          <w:sz w:val="28"/>
          <w:szCs w:val="28"/>
          <w:u w:val="none"/>
          <w:lang w:val="uk-UA"/>
        </w:rPr>
        <w:t>«</w:t>
      </w:r>
      <w:r w:rsidRPr="007C3449">
        <w:rPr>
          <w:rStyle w:val="a4"/>
          <w:color w:val="auto"/>
          <w:sz w:val="28"/>
          <w:szCs w:val="28"/>
          <w:u w:val="none"/>
          <w:lang w:val="uk-UA"/>
        </w:rPr>
        <w:t>Про застосування міжнародних стандартів фінансової звітності</w:t>
      </w:r>
      <w:r w:rsidRPr="000C77AB">
        <w:rPr>
          <w:sz w:val="28"/>
          <w:szCs w:val="28"/>
          <w:lang w:val="uk-UA"/>
        </w:rPr>
        <w:fldChar w:fldCharType="end"/>
      </w:r>
      <w:r w:rsidR="009D46F3">
        <w:rPr>
          <w:sz w:val="28"/>
          <w:szCs w:val="28"/>
          <w:lang w:val="uk-UA"/>
        </w:rPr>
        <w:t xml:space="preserve">» </w:t>
      </w:r>
      <w:bookmarkEnd w:id="0"/>
      <w:r w:rsidR="009D46F3">
        <w:rPr>
          <w:sz w:val="28"/>
          <w:szCs w:val="28"/>
          <w:lang w:val="uk-UA"/>
        </w:rPr>
        <w:t>[4], формувати звіт відповідно до МСФЗ повинні</w:t>
      </w:r>
      <w:r w:rsidRPr="007C3449">
        <w:rPr>
          <w:color w:val="000000"/>
          <w:sz w:val="28"/>
          <w:szCs w:val="28"/>
          <w:lang w:val="uk-UA"/>
        </w:rPr>
        <w:t>:</w:t>
      </w:r>
    </w:p>
    <w:p w14:paraId="0BEBC72B" w14:textId="77777777" w:rsidR="009D46F3" w:rsidRPr="007C3449" w:rsidRDefault="009D46F3" w:rsidP="009D46F3">
      <w:pPr>
        <w:pStyle w:val="a3"/>
        <w:shd w:val="clear" w:color="auto" w:fill="FFFFFF"/>
        <w:spacing w:before="0" w:beforeAutospacing="0" w:after="0" w:afterAutospacing="0" w:line="360" w:lineRule="auto"/>
        <w:ind w:firstLine="567"/>
        <w:jc w:val="both"/>
        <w:rPr>
          <w:color w:val="000000"/>
          <w:sz w:val="28"/>
          <w:szCs w:val="28"/>
          <w:lang w:val="uk-UA"/>
        </w:rPr>
      </w:pPr>
      <w:r w:rsidRPr="007C3449">
        <w:rPr>
          <w:color w:val="000000"/>
          <w:sz w:val="28"/>
          <w:szCs w:val="28"/>
          <w:lang w:val="uk-UA"/>
        </w:rPr>
        <w:lastRenderedPageBreak/>
        <w:t>- великі підприємства (тобто ті, у яких виконуються хоча б 2 з 3-х умов: балансова вартість активів складає більше 20 млн євро; чистий дохід від реалізації продукції (товарів, робіт, послуг) більше 40 млн євро; середня кількість працівників перевищує 250 осіб);</w:t>
      </w:r>
    </w:p>
    <w:p w14:paraId="15D2EA80" w14:textId="77777777" w:rsidR="009D46F3" w:rsidRPr="009D46F3" w:rsidRDefault="009D46F3" w:rsidP="009D46F3">
      <w:pPr>
        <w:pStyle w:val="a3"/>
        <w:shd w:val="clear" w:color="auto" w:fill="FFFFFF"/>
        <w:spacing w:before="0" w:beforeAutospacing="0" w:after="0" w:afterAutospacing="0" w:line="360" w:lineRule="auto"/>
        <w:ind w:firstLine="567"/>
        <w:jc w:val="both"/>
        <w:rPr>
          <w:color w:val="000000"/>
          <w:sz w:val="28"/>
          <w:szCs w:val="28"/>
        </w:rPr>
      </w:pPr>
      <w:r w:rsidRPr="009D46F3">
        <w:rPr>
          <w:color w:val="000000"/>
          <w:sz w:val="28"/>
          <w:szCs w:val="28"/>
        </w:rPr>
        <w:t>- підприємства, які провадять діяльність із видобутку корисних копалин загальнодержавного значення;</w:t>
      </w:r>
    </w:p>
    <w:p w14:paraId="586F2AEF" w14:textId="77777777" w:rsidR="009D46F3" w:rsidRPr="009D46F3" w:rsidRDefault="009D46F3" w:rsidP="009D46F3">
      <w:pPr>
        <w:pStyle w:val="a3"/>
        <w:shd w:val="clear" w:color="auto" w:fill="FFFFFF"/>
        <w:spacing w:before="0" w:beforeAutospacing="0" w:after="0" w:afterAutospacing="0" w:line="360" w:lineRule="auto"/>
        <w:ind w:firstLine="567"/>
        <w:jc w:val="both"/>
        <w:rPr>
          <w:color w:val="000000"/>
          <w:sz w:val="28"/>
          <w:szCs w:val="28"/>
        </w:rPr>
      </w:pPr>
      <w:r w:rsidRPr="009D46F3">
        <w:rPr>
          <w:color w:val="000000"/>
          <w:sz w:val="28"/>
          <w:szCs w:val="28"/>
        </w:rPr>
        <w:t>- емітенти цінних паперів, цінні папери яких допущено до біржових торгів.</w:t>
      </w:r>
    </w:p>
    <w:p w14:paraId="0BA7CF74" w14:textId="2CD8A4E0" w:rsidR="009D46F3" w:rsidRPr="006C6A85" w:rsidRDefault="009D46F3" w:rsidP="009D46F3">
      <w:pPr>
        <w:pStyle w:val="a3"/>
        <w:shd w:val="clear" w:color="auto" w:fill="FFFFFF"/>
        <w:spacing w:before="0" w:beforeAutospacing="0" w:after="0" w:afterAutospacing="0" w:line="360" w:lineRule="auto"/>
        <w:ind w:firstLine="567"/>
        <w:jc w:val="both"/>
        <w:rPr>
          <w:color w:val="000000"/>
          <w:sz w:val="28"/>
          <w:szCs w:val="28"/>
          <w:lang w:val="uk-UA"/>
        </w:rPr>
      </w:pPr>
      <w:r w:rsidRPr="009D46F3">
        <w:rPr>
          <w:color w:val="000000"/>
          <w:sz w:val="28"/>
          <w:szCs w:val="28"/>
        </w:rPr>
        <w:t xml:space="preserve">Мінфін у своєму листі зазначив, що датою переходу на МСФЗ для підприємств, які вперше застосовуватимуть МСФЗ, </w:t>
      </w:r>
      <w:r w:rsidR="006C6A85">
        <w:rPr>
          <w:color w:val="000000"/>
          <w:sz w:val="28"/>
          <w:szCs w:val="28"/>
          <w:lang w:val="uk-UA"/>
        </w:rPr>
        <w:t>була</w:t>
      </w:r>
      <w:r w:rsidRPr="009D46F3">
        <w:rPr>
          <w:color w:val="000000"/>
          <w:sz w:val="28"/>
          <w:szCs w:val="28"/>
        </w:rPr>
        <w:t xml:space="preserve"> 01.01.2018. Однак</w:t>
      </w:r>
      <w:r>
        <w:rPr>
          <w:color w:val="000000"/>
          <w:sz w:val="28"/>
          <w:szCs w:val="28"/>
          <w:lang w:val="uk-UA"/>
        </w:rPr>
        <w:t>,</w:t>
      </w:r>
      <w:r w:rsidRPr="009D46F3">
        <w:rPr>
          <w:color w:val="000000"/>
          <w:sz w:val="28"/>
          <w:szCs w:val="28"/>
        </w:rPr>
        <w:t xml:space="preserve"> ці підприємства мо</w:t>
      </w:r>
      <w:r w:rsidR="006C6A85">
        <w:rPr>
          <w:color w:val="000000"/>
          <w:sz w:val="28"/>
          <w:szCs w:val="28"/>
          <w:lang w:val="uk-UA"/>
        </w:rPr>
        <w:t>гли</w:t>
      </w:r>
      <w:r w:rsidRPr="009D46F3">
        <w:rPr>
          <w:color w:val="000000"/>
          <w:sz w:val="28"/>
          <w:szCs w:val="28"/>
        </w:rPr>
        <w:t xml:space="preserve"> обрати датою переходу на МСФЗ 01.01.2017.</w:t>
      </w:r>
      <w:r w:rsidR="006C6A85">
        <w:rPr>
          <w:color w:val="000000"/>
          <w:sz w:val="28"/>
          <w:szCs w:val="28"/>
          <w:lang w:val="uk-UA"/>
        </w:rPr>
        <w:t xml:space="preserve"> [4]</w:t>
      </w:r>
    </w:p>
    <w:p w14:paraId="21249310" w14:textId="4A2491A1" w:rsidR="000C6363" w:rsidRDefault="000A316C" w:rsidP="009D46F3">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lang w:val="uk-UA"/>
        </w:rPr>
        <w:t xml:space="preserve">Початком впровадження МСФЗ став переклад </w:t>
      </w:r>
      <w:bookmarkStart w:id="1" w:name="_Hlk128331246"/>
      <w:r>
        <w:rPr>
          <w:color w:val="000000"/>
          <w:sz w:val="28"/>
          <w:szCs w:val="28"/>
          <w:lang w:val="uk-UA"/>
        </w:rPr>
        <w:t xml:space="preserve">«Концептуальних основ фінансової звітності» [5], яка була </w:t>
      </w:r>
      <w:r w:rsidRPr="000A316C">
        <w:rPr>
          <w:color w:val="000000"/>
          <w:sz w:val="28"/>
          <w:szCs w:val="28"/>
        </w:rPr>
        <w:t xml:space="preserve">видана РМСБО у вересні 2010 р. </w:t>
      </w:r>
      <w:r>
        <w:rPr>
          <w:color w:val="000000"/>
          <w:sz w:val="28"/>
          <w:szCs w:val="28"/>
          <w:lang w:val="uk-UA"/>
        </w:rPr>
        <w:t>та п</w:t>
      </w:r>
      <w:r w:rsidRPr="000A316C">
        <w:rPr>
          <w:color w:val="000000"/>
          <w:sz w:val="28"/>
          <w:szCs w:val="28"/>
        </w:rPr>
        <w:t>ереглянута в березні 2018 року</w:t>
      </w:r>
      <w:bookmarkEnd w:id="1"/>
      <w:r w:rsidRPr="000A316C">
        <w:rPr>
          <w:color w:val="000000"/>
          <w:sz w:val="28"/>
          <w:szCs w:val="28"/>
        </w:rPr>
        <w:t>.</w:t>
      </w:r>
    </w:p>
    <w:p w14:paraId="77F3A30E" w14:textId="03855A1B" w:rsidR="000A316C" w:rsidRDefault="000A316C" w:rsidP="009D46F3">
      <w:pPr>
        <w:pStyle w:val="a3"/>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lang w:val="uk-UA"/>
        </w:rPr>
        <w:t>Метою концептуальної основи є:</w:t>
      </w:r>
    </w:p>
    <w:p w14:paraId="44F8B392" w14:textId="5276CF4F" w:rsidR="000A316C" w:rsidRPr="000A316C" w:rsidRDefault="000A316C" w:rsidP="000A316C">
      <w:pPr>
        <w:pStyle w:val="a3"/>
        <w:shd w:val="clear" w:color="auto" w:fill="FFFFFF"/>
        <w:spacing w:before="0" w:beforeAutospacing="0" w:after="0" w:afterAutospacing="0" w:line="360" w:lineRule="auto"/>
        <w:ind w:firstLine="567"/>
        <w:jc w:val="both"/>
        <w:rPr>
          <w:sz w:val="28"/>
          <w:szCs w:val="28"/>
          <w:lang w:val="uk-UA"/>
        </w:rPr>
      </w:pPr>
      <w:r w:rsidRPr="000A316C">
        <w:rPr>
          <w:sz w:val="28"/>
          <w:szCs w:val="28"/>
          <w:lang w:val="uk-UA"/>
        </w:rPr>
        <w:t xml:space="preserve">- сприяти розробленню Радою з міжнародних стандартів бухгалтерського обліку Стандартів МСФЗ, що ґрунтуються на послідовних концепціях; </w:t>
      </w:r>
    </w:p>
    <w:p w14:paraId="581A1F74" w14:textId="77777777" w:rsidR="000A316C" w:rsidRPr="000A316C" w:rsidRDefault="000A316C" w:rsidP="000A316C">
      <w:pPr>
        <w:pStyle w:val="a3"/>
        <w:shd w:val="clear" w:color="auto" w:fill="FFFFFF"/>
        <w:spacing w:before="0" w:beforeAutospacing="0" w:after="0" w:afterAutospacing="0" w:line="360" w:lineRule="auto"/>
        <w:ind w:firstLine="567"/>
        <w:jc w:val="both"/>
        <w:rPr>
          <w:sz w:val="28"/>
          <w:szCs w:val="28"/>
          <w:lang w:val="uk-UA"/>
        </w:rPr>
      </w:pPr>
      <w:r w:rsidRPr="000A316C">
        <w:rPr>
          <w:sz w:val="28"/>
          <w:szCs w:val="28"/>
          <w:lang w:val="uk-UA"/>
        </w:rPr>
        <w:t xml:space="preserve">- допомогти тим, хто складає звітність, розробляти послідовну облікову політику в тому разі, якщо жоден Стандарт не є застосовним до певної операції чи іншої події, або якщо Стандарт дає можливість обирати облікову політику; та </w:t>
      </w:r>
    </w:p>
    <w:p w14:paraId="2DDE6E24" w14:textId="75BB95B5" w:rsidR="000A316C" w:rsidRDefault="000A316C" w:rsidP="000A316C">
      <w:pPr>
        <w:pStyle w:val="a3"/>
        <w:shd w:val="clear" w:color="auto" w:fill="FFFFFF"/>
        <w:spacing w:before="0" w:beforeAutospacing="0" w:after="0" w:afterAutospacing="0" w:line="360" w:lineRule="auto"/>
        <w:ind w:firstLine="567"/>
        <w:jc w:val="both"/>
        <w:rPr>
          <w:sz w:val="28"/>
          <w:szCs w:val="28"/>
          <w:lang w:val="uk-UA"/>
        </w:rPr>
      </w:pPr>
      <w:r w:rsidRPr="000A316C">
        <w:rPr>
          <w:sz w:val="28"/>
          <w:szCs w:val="28"/>
          <w:lang w:val="uk-UA"/>
        </w:rPr>
        <w:t>- допомагати всім сторонам розуміти та тлумачити Стандарти.</w:t>
      </w:r>
      <w:r>
        <w:rPr>
          <w:sz w:val="28"/>
          <w:szCs w:val="28"/>
          <w:lang w:val="uk-UA"/>
        </w:rPr>
        <w:t xml:space="preserve"> [5]</w:t>
      </w:r>
    </w:p>
    <w:p w14:paraId="386B260F" w14:textId="2619AA1B" w:rsidR="000A316C" w:rsidRDefault="000A316C" w:rsidP="000A316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Концепція не є Стандартом, тому носить тільки роз’яснюючий та консультаційний характер.</w:t>
      </w:r>
    </w:p>
    <w:p w14:paraId="419F89D4" w14:textId="34F4F6B2" w:rsidR="000A316C" w:rsidRDefault="000A316C" w:rsidP="000A316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На сьогоднійній день перекладено та впроваджено у вітчизняний облік такі МСФЗ (табл. 1</w:t>
      </w:r>
      <w:r w:rsidR="0030188D">
        <w:rPr>
          <w:sz w:val="28"/>
          <w:szCs w:val="28"/>
          <w:lang w:val="uk-UA"/>
        </w:rPr>
        <w:t>-2</w:t>
      </w:r>
      <w:r>
        <w:rPr>
          <w:sz w:val="28"/>
          <w:szCs w:val="28"/>
          <w:lang w:val="uk-UA"/>
        </w:rPr>
        <w:t xml:space="preserve">): </w:t>
      </w:r>
    </w:p>
    <w:p w14:paraId="3A5A2377" w14:textId="78A489E1" w:rsidR="0030188D" w:rsidRDefault="0030188D" w:rsidP="0030188D">
      <w:pPr>
        <w:pStyle w:val="a3"/>
        <w:shd w:val="clear" w:color="auto" w:fill="FFFFFF"/>
        <w:spacing w:before="0" w:beforeAutospacing="0" w:after="0" w:afterAutospacing="0" w:line="360" w:lineRule="auto"/>
        <w:ind w:firstLine="567"/>
        <w:jc w:val="right"/>
        <w:rPr>
          <w:sz w:val="28"/>
          <w:szCs w:val="28"/>
          <w:lang w:val="uk-UA"/>
        </w:rPr>
      </w:pPr>
      <w:r>
        <w:rPr>
          <w:sz w:val="28"/>
          <w:szCs w:val="28"/>
          <w:lang w:val="uk-UA"/>
        </w:rPr>
        <w:t>Таблиця 1</w:t>
      </w:r>
    </w:p>
    <w:p w14:paraId="5B4A6DE1" w14:textId="2388941F" w:rsidR="0030188D" w:rsidRPr="00D05C68" w:rsidRDefault="0030188D" w:rsidP="0030188D">
      <w:pPr>
        <w:pStyle w:val="a3"/>
        <w:shd w:val="clear" w:color="auto" w:fill="FFFFFF"/>
        <w:spacing w:before="0" w:beforeAutospacing="0" w:after="0" w:afterAutospacing="0" w:line="360" w:lineRule="auto"/>
        <w:ind w:firstLine="567"/>
        <w:jc w:val="center"/>
        <w:rPr>
          <w:sz w:val="28"/>
          <w:szCs w:val="28"/>
          <w:vertAlign w:val="superscript"/>
          <w:lang w:val="uk-UA"/>
        </w:rPr>
      </w:pPr>
      <w:r>
        <w:rPr>
          <w:sz w:val="28"/>
          <w:szCs w:val="28"/>
          <w:lang w:val="uk-UA"/>
        </w:rPr>
        <w:t xml:space="preserve">Перелік МСФЗ, які впроваджено </w:t>
      </w:r>
      <w:r w:rsidR="003733FE">
        <w:rPr>
          <w:sz w:val="28"/>
          <w:szCs w:val="28"/>
          <w:lang w:val="uk-UA"/>
        </w:rPr>
        <w:t xml:space="preserve">в </w:t>
      </w:r>
      <w:r>
        <w:rPr>
          <w:sz w:val="28"/>
          <w:szCs w:val="28"/>
          <w:lang w:val="uk-UA"/>
        </w:rPr>
        <w:t>законодавство України</w:t>
      </w:r>
      <w:r w:rsidR="00D05C68">
        <w:rPr>
          <w:sz w:val="28"/>
          <w:szCs w:val="28"/>
          <w:vertAlign w:val="superscript"/>
          <w:lang w:val="uk-UA"/>
        </w:rPr>
        <w:t>*</w:t>
      </w:r>
    </w:p>
    <w:tbl>
      <w:tblPr>
        <w:tblStyle w:val="a7"/>
        <w:tblW w:w="9634" w:type="dxa"/>
        <w:tblLook w:val="04A0" w:firstRow="1" w:lastRow="0" w:firstColumn="1" w:lastColumn="0" w:noHBand="0" w:noVBand="1"/>
      </w:tblPr>
      <w:tblGrid>
        <w:gridCol w:w="506"/>
        <w:gridCol w:w="3317"/>
        <w:gridCol w:w="5811"/>
      </w:tblGrid>
      <w:tr w:rsidR="00E87B76" w14:paraId="5DE4EF79" w14:textId="2F166303" w:rsidTr="00E87B76">
        <w:trPr>
          <w:trHeight w:val="325"/>
        </w:trPr>
        <w:tc>
          <w:tcPr>
            <w:tcW w:w="506" w:type="dxa"/>
          </w:tcPr>
          <w:p w14:paraId="3DD5475E" w14:textId="77777777" w:rsidR="00E87B76" w:rsidRPr="00351443" w:rsidRDefault="00E87B76" w:rsidP="00351443">
            <w:pPr>
              <w:pStyle w:val="a3"/>
              <w:spacing w:before="0" w:beforeAutospacing="0" w:after="0" w:afterAutospacing="0"/>
              <w:jc w:val="both"/>
              <w:rPr>
                <w:color w:val="000000"/>
                <w:lang w:val="uk-UA"/>
              </w:rPr>
            </w:pPr>
            <w:r w:rsidRPr="00351443">
              <w:rPr>
                <w:color w:val="000000"/>
                <w:lang w:val="uk-UA"/>
              </w:rPr>
              <w:t>№</w:t>
            </w:r>
          </w:p>
          <w:p w14:paraId="4B1C568C" w14:textId="673BBA49" w:rsidR="00E87B76" w:rsidRPr="00351443" w:rsidRDefault="00E87B76" w:rsidP="00351443">
            <w:pPr>
              <w:pStyle w:val="a3"/>
              <w:spacing w:before="0" w:beforeAutospacing="0" w:after="0" w:afterAutospacing="0"/>
              <w:jc w:val="both"/>
              <w:rPr>
                <w:color w:val="000000"/>
                <w:lang w:val="uk-UA"/>
              </w:rPr>
            </w:pPr>
            <w:r w:rsidRPr="00351443">
              <w:rPr>
                <w:color w:val="000000"/>
                <w:lang w:val="uk-UA"/>
              </w:rPr>
              <w:t>з/п</w:t>
            </w:r>
          </w:p>
        </w:tc>
        <w:tc>
          <w:tcPr>
            <w:tcW w:w="3317" w:type="dxa"/>
          </w:tcPr>
          <w:p w14:paraId="1931121A" w14:textId="769F4B96" w:rsidR="00E87B76" w:rsidRPr="00351443" w:rsidRDefault="00E87B76" w:rsidP="00FB69AB">
            <w:pPr>
              <w:pStyle w:val="a3"/>
              <w:spacing w:before="0" w:beforeAutospacing="0" w:after="0" w:afterAutospacing="0"/>
              <w:jc w:val="center"/>
              <w:rPr>
                <w:color w:val="000000"/>
                <w:lang w:val="uk-UA"/>
              </w:rPr>
            </w:pPr>
            <w:r w:rsidRPr="00351443">
              <w:rPr>
                <w:color w:val="000000"/>
                <w:lang w:val="uk-UA"/>
              </w:rPr>
              <w:t>Назва МСФЗ</w:t>
            </w:r>
          </w:p>
        </w:tc>
        <w:tc>
          <w:tcPr>
            <w:tcW w:w="5811" w:type="dxa"/>
          </w:tcPr>
          <w:p w14:paraId="0A902FBD" w14:textId="681D0304" w:rsidR="00E87B76" w:rsidRPr="00351443" w:rsidRDefault="00E87B76" w:rsidP="00CC2C13">
            <w:pPr>
              <w:pStyle w:val="a3"/>
              <w:spacing w:before="0" w:beforeAutospacing="0" w:after="0" w:afterAutospacing="0"/>
              <w:jc w:val="center"/>
              <w:rPr>
                <w:color w:val="000000"/>
                <w:lang w:val="uk-UA"/>
              </w:rPr>
            </w:pPr>
            <w:r w:rsidRPr="00351443">
              <w:rPr>
                <w:color w:val="000000"/>
                <w:lang w:val="uk-UA"/>
              </w:rPr>
              <w:t>Мета Стандарту</w:t>
            </w:r>
          </w:p>
        </w:tc>
      </w:tr>
      <w:tr w:rsidR="00E87B76" w14:paraId="1802609F" w14:textId="4271103B" w:rsidTr="00E87B76">
        <w:tc>
          <w:tcPr>
            <w:tcW w:w="506" w:type="dxa"/>
          </w:tcPr>
          <w:p w14:paraId="07AE13FD" w14:textId="77777777" w:rsidR="00E87B76" w:rsidRDefault="00E87B76" w:rsidP="00351443">
            <w:pPr>
              <w:pStyle w:val="a3"/>
              <w:spacing w:before="0" w:beforeAutospacing="0" w:after="0" w:afterAutospacing="0"/>
              <w:jc w:val="both"/>
              <w:rPr>
                <w:color w:val="000000"/>
                <w:lang w:val="uk-UA"/>
              </w:rPr>
            </w:pPr>
          </w:p>
          <w:p w14:paraId="36449560" w14:textId="77777777" w:rsidR="00E87B76" w:rsidRDefault="00E87B76" w:rsidP="00351443">
            <w:pPr>
              <w:pStyle w:val="a3"/>
              <w:spacing w:before="0" w:beforeAutospacing="0" w:after="0" w:afterAutospacing="0"/>
              <w:jc w:val="both"/>
              <w:rPr>
                <w:color w:val="000000"/>
                <w:lang w:val="uk-UA"/>
              </w:rPr>
            </w:pPr>
          </w:p>
          <w:p w14:paraId="32C3DCE2" w14:textId="0023455E" w:rsidR="00E87B76" w:rsidRPr="00351443" w:rsidRDefault="00E87B76" w:rsidP="00351443">
            <w:pPr>
              <w:pStyle w:val="a3"/>
              <w:spacing w:before="0" w:beforeAutospacing="0" w:after="0" w:afterAutospacing="0"/>
              <w:jc w:val="both"/>
              <w:rPr>
                <w:color w:val="000000"/>
                <w:lang w:val="uk-UA"/>
              </w:rPr>
            </w:pPr>
            <w:r>
              <w:rPr>
                <w:color w:val="000000"/>
                <w:lang w:val="uk-UA"/>
              </w:rPr>
              <w:t>1</w:t>
            </w:r>
          </w:p>
        </w:tc>
        <w:tc>
          <w:tcPr>
            <w:tcW w:w="3317" w:type="dxa"/>
          </w:tcPr>
          <w:p w14:paraId="1EFDA178" w14:textId="69C01D6E" w:rsidR="00E87B76" w:rsidRPr="00351443" w:rsidRDefault="00E87B76" w:rsidP="00CC2C13">
            <w:pPr>
              <w:pStyle w:val="a3"/>
              <w:spacing w:before="0" w:beforeAutospacing="0" w:after="0" w:afterAutospacing="0"/>
              <w:jc w:val="both"/>
              <w:rPr>
                <w:color w:val="000000"/>
                <w:lang w:val="uk-UA"/>
              </w:rPr>
            </w:pPr>
            <w:r w:rsidRPr="00351443">
              <w:rPr>
                <w:color w:val="000000"/>
                <w:lang w:val="uk-UA"/>
              </w:rPr>
              <w:t>МСФЗ 1</w:t>
            </w:r>
            <w:r>
              <w:rPr>
                <w:color w:val="000000"/>
                <w:lang w:val="uk-UA"/>
              </w:rPr>
              <w:t xml:space="preserve"> </w:t>
            </w:r>
            <w:r w:rsidRPr="00351443">
              <w:rPr>
                <w:color w:val="000000"/>
                <w:lang w:val="uk-UA"/>
              </w:rPr>
              <w:t>«</w:t>
            </w:r>
            <w:r w:rsidRPr="00351443">
              <w:rPr>
                <w:color w:val="000000"/>
              </w:rPr>
              <w:t>Перше застосування Міжнародних стандартів фінансової звітності</w:t>
            </w:r>
            <w:r w:rsidRPr="00351443">
              <w:rPr>
                <w:color w:val="000000"/>
                <w:lang w:val="uk-UA"/>
              </w:rPr>
              <w:t>»</w:t>
            </w:r>
          </w:p>
        </w:tc>
        <w:tc>
          <w:tcPr>
            <w:tcW w:w="5811" w:type="dxa"/>
          </w:tcPr>
          <w:p w14:paraId="03284A7F" w14:textId="717AE8F1" w:rsidR="00E87B76" w:rsidRPr="00351443" w:rsidRDefault="00E87B76" w:rsidP="00351443">
            <w:pPr>
              <w:pStyle w:val="a3"/>
              <w:spacing w:before="0" w:beforeAutospacing="0" w:after="0" w:afterAutospacing="0"/>
              <w:jc w:val="both"/>
              <w:rPr>
                <w:color w:val="000000"/>
                <w:lang w:val="uk-UA"/>
              </w:rPr>
            </w:pPr>
            <w:r w:rsidRPr="00351443">
              <w:rPr>
                <w:lang w:val="uk-UA"/>
              </w:rPr>
              <w:t>Забезпечує створення першої фінансової звітності суб’єкта господарювання, яка повинна бути складена за МСФЗ</w:t>
            </w:r>
            <w:r w:rsidR="00E1468C">
              <w:rPr>
                <w:lang w:val="uk-UA"/>
              </w:rPr>
              <w:t>.</w:t>
            </w:r>
          </w:p>
        </w:tc>
      </w:tr>
    </w:tbl>
    <w:p w14:paraId="361183AF" w14:textId="5279DEE5" w:rsidR="00E1468C" w:rsidRPr="00E1468C" w:rsidRDefault="00E1468C" w:rsidP="00E1468C">
      <w:pPr>
        <w:jc w:val="right"/>
        <w:rPr>
          <w:rFonts w:ascii="Times New Roman" w:hAnsi="Times New Roman" w:cs="Times New Roman"/>
          <w:sz w:val="28"/>
          <w:szCs w:val="28"/>
          <w:lang w:val="uk-UA"/>
        </w:rPr>
      </w:pPr>
      <w:r>
        <w:br w:type="page"/>
      </w:r>
      <w:r w:rsidRPr="00E1468C">
        <w:rPr>
          <w:rFonts w:ascii="Times New Roman" w:hAnsi="Times New Roman" w:cs="Times New Roman"/>
          <w:sz w:val="28"/>
          <w:szCs w:val="28"/>
          <w:lang w:val="uk-UA"/>
        </w:rPr>
        <w:lastRenderedPageBreak/>
        <w:t>Продовження таблиці 1</w:t>
      </w:r>
    </w:p>
    <w:tbl>
      <w:tblPr>
        <w:tblStyle w:val="a7"/>
        <w:tblW w:w="9634" w:type="dxa"/>
        <w:tblLook w:val="04A0" w:firstRow="1" w:lastRow="0" w:firstColumn="1" w:lastColumn="0" w:noHBand="0" w:noVBand="1"/>
      </w:tblPr>
      <w:tblGrid>
        <w:gridCol w:w="506"/>
        <w:gridCol w:w="3317"/>
        <w:gridCol w:w="5811"/>
      </w:tblGrid>
      <w:tr w:rsidR="00E87B76" w14:paraId="6A93DDF1" w14:textId="3EBD01A0" w:rsidTr="00E87B76">
        <w:tc>
          <w:tcPr>
            <w:tcW w:w="506" w:type="dxa"/>
          </w:tcPr>
          <w:p w14:paraId="0CEDCE19" w14:textId="13476C46" w:rsidR="00E87B76" w:rsidRDefault="00E87B76" w:rsidP="00351443">
            <w:pPr>
              <w:pStyle w:val="a3"/>
              <w:spacing w:before="0" w:beforeAutospacing="0" w:after="0" w:afterAutospacing="0"/>
              <w:jc w:val="both"/>
              <w:rPr>
                <w:color w:val="000000"/>
                <w:lang w:val="uk-UA"/>
              </w:rPr>
            </w:pPr>
          </w:p>
          <w:p w14:paraId="2E417147" w14:textId="1A0844AA" w:rsidR="00E87B76" w:rsidRPr="00351443" w:rsidRDefault="00E87B76" w:rsidP="00351443">
            <w:pPr>
              <w:pStyle w:val="a3"/>
              <w:spacing w:before="0" w:beforeAutospacing="0" w:after="0" w:afterAutospacing="0"/>
              <w:jc w:val="both"/>
              <w:rPr>
                <w:color w:val="000000"/>
                <w:lang w:val="uk-UA"/>
              </w:rPr>
            </w:pPr>
            <w:r>
              <w:rPr>
                <w:color w:val="000000"/>
                <w:lang w:val="uk-UA"/>
              </w:rPr>
              <w:t>2</w:t>
            </w:r>
          </w:p>
        </w:tc>
        <w:tc>
          <w:tcPr>
            <w:tcW w:w="3317" w:type="dxa"/>
          </w:tcPr>
          <w:p w14:paraId="1FA38F81" w14:textId="0021DF1C" w:rsidR="00E87B76" w:rsidRPr="00351443" w:rsidRDefault="00E87B76" w:rsidP="00351443">
            <w:pPr>
              <w:pStyle w:val="a3"/>
              <w:spacing w:before="0" w:beforeAutospacing="0" w:after="0" w:afterAutospacing="0"/>
              <w:jc w:val="both"/>
              <w:rPr>
                <w:color w:val="000000"/>
                <w:lang w:val="uk-UA"/>
              </w:rPr>
            </w:pPr>
            <w:r w:rsidRPr="0089770B">
              <w:rPr>
                <w:color w:val="000000"/>
                <w:lang w:val="uk-UA"/>
              </w:rPr>
              <w:t>МСФЗ 2 «Платіж на основі акцій»</w:t>
            </w:r>
          </w:p>
        </w:tc>
        <w:tc>
          <w:tcPr>
            <w:tcW w:w="5811" w:type="dxa"/>
          </w:tcPr>
          <w:p w14:paraId="60C5121E" w14:textId="47DA8F97" w:rsidR="00E87B76" w:rsidRPr="00351443" w:rsidRDefault="00E87B76" w:rsidP="0089770B">
            <w:pPr>
              <w:pStyle w:val="a3"/>
              <w:spacing w:after="0"/>
              <w:jc w:val="both"/>
              <w:rPr>
                <w:color w:val="000000"/>
                <w:lang w:val="uk-UA"/>
              </w:rPr>
            </w:pPr>
            <w:r w:rsidRPr="0089770B">
              <w:rPr>
                <w:color w:val="000000"/>
                <w:lang w:val="uk-UA"/>
              </w:rPr>
              <w:t>МСФЗ</w:t>
            </w:r>
            <w:r>
              <w:rPr>
                <w:color w:val="000000"/>
                <w:lang w:val="uk-UA"/>
              </w:rPr>
              <w:t xml:space="preserve"> </w:t>
            </w:r>
            <w:r w:rsidRPr="0089770B">
              <w:rPr>
                <w:color w:val="000000"/>
                <w:lang w:val="uk-UA"/>
              </w:rPr>
              <w:t>визнач</w:t>
            </w:r>
            <w:r>
              <w:rPr>
                <w:color w:val="000000"/>
                <w:lang w:val="uk-UA"/>
              </w:rPr>
              <w:t>ає</w:t>
            </w:r>
            <w:r w:rsidRPr="0089770B">
              <w:rPr>
                <w:color w:val="000000"/>
                <w:lang w:val="uk-UA"/>
              </w:rPr>
              <w:t xml:space="preserve"> вимог</w:t>
            </w:r>
            <w:r>
              <w:rPr>
                <w:color w:val="000000"/>
                <w:lang w:val="uk-UA"/>
              </w:rPr>
              <w:t>и</w:t>
            </w:r>
            <w:r w:rsidRPr="0089770B">
              <w:rPr>
                <w:color w:val="000000"/>
                <w:lang w:val="uk-UA"/>
              </w:rPr>
              <w:t xml:space="preserve"> до фінансової звітності суб’єкта господарювання, що</w:t>
            </w:r>
            <w:r>
              <w:rPr>
                <w:color w:val="000000"/>
                <w:lang w:val="uk-UA"/>
              </w:rPr>
              <w:t xml:space="preserve"> </w:t>
            </w:r>
            <w:r w:rsidRPr="0089770B">
              <w:rPr>
                <w:color w:val="000000"/>
                <w:lang w:val="uk-UA"/>
              </w:rPr>
              <w:t>виконує операції, платіж за якими здійснюється на основі акцій</w:t>
            </w:r>
            <w:r>
              <w:rPr>
                <w:color w:val="000000"/>
                <w:lang w:val="uk-UA"/>
              </w:rPr>
              <w:t>.</w:t>
            </w:r>
          </w:p>
        </w:tc>
      </w:tr>
      <w:tr w:rsidR="00E87B76" w14:paraId="454D0B49" w14:textId="7BADD263" w:rsidTr="00E87B76">
        <w:tc>
          <w:tcPr>
            <w:tcW w:w="506" w:type="dxa"/>
          </w:tcPr>
          <w:p w14:paraId="6B4A95D6" w14:textId="77777777" w:rsidR="00E87B76" w:rsidRDefault="00E87B76" w:rsidP="00351443">
            <w:pPr>
              <w:pStyle w:val="a3"/>
              <w:spacing w:before="0" w:beforeAutospacing="0" w:after="0" w:afterAutospacing="0"/>
              <w:jc w:val="both"/>
              <w:rPr>
                <w:color w:val="000000"/>
                <w:lang w:val="uk-UA"/>
              </w:rPr>
            </w:pPr>
          </w:p>
          <w:p w14:paraId="45B659F1" w14:textId="276313DA" w:rsidR="00E87B76" w:rsidRPr="00351443" w:rsidRDefault="00E87B76" w:rsidP="00351443">
            <w:pPr>
              <w:pStyle w:val="a3"/>
              <w:spacing w:before="0" w:beforeAutospacing="0" w:after="0" w:afterAutospacing="0"/>
              <w:jc w:val="both"/>
              <w:rPr>
                <w:color w:val="000000"/>
                <w:lang w:val="uk-UA"/>
              </w:rPr>
            </w:pPr>
            <w:r>
              <w:rPr>
                <w:color w:val="000000"/>
                <w:lang w:val="uk-UA"/>
              </w:rPr>
              <w:t>3</w:t>
            </w:r>
          </w:p>
        </w:tc>
        <w:tc>
          <w:tcPr>
            <w:tcW w:w="3317" w:type="dxa"/>
          </w:tcPr>
          <w:p w14:paraId="7FA558E6" w14:textId="0B606EC9" w:rsidR="00E87B76" w:rsidRPr="00351443" w:rsidRDefault="00E87B76" w:rsidP="00351443">
            <w:pPr>
              <w:pStyle w:val="a3"/>
              <w:spacing w:before="0" w:beforeAutospacing="0" w:after="0" w:afterAutospacing="0"/>
              <w:jc w:val="both"/>
              <w:rPr>
                <w:color w:val="000000"/>
                <w:lang w:val="uk-UA"/>
              </w:rPr>
            </w:pPr>
            <w:r w:rsidRPr="00473C2E">
              <w:rPr>
                <w:color w:val="000000"/>
                <w:lang w:val="uk-UA"/>
              </w:rPr>
              <w:t>МСФЗ 3 «Об’єднання бізнесу»</w:t>
            </w:r>
          </w:p>
        </w:tc>
        <w:tc>
          <w:tcPr>
            <w:tcW w:w="5811" w:type="dxa"/>
          </w:tcPr>
          <w:p w14:paraId="05507468" w14:textId="7FB9A6C1" w:rsidR="00E87B76" w:rsidRPr="00351443" w:rsidRDefault="00ED6780" w:rsidP="00351443">
            <w:pPr>
              <w:pStyle w:val="a3"/>
              <w:spacing w:before="0" w:beforeAutospacing="0" w:after="0" w:afterAutospacing="0"/>
              <w:jc w:val="both"/>
              <w:rPr>
                <w:color w:val="000000"/>
                <w:lang w:val="uk-UA"/>
              </w:rPr>
            </w:pPr>
            <w:r>
              <w:rPr>
                <w:color w:val="000000"/>
                <w:lang w:val="uk-UA"/>
              </w:rPr>
              <w:t>П</w:t>
            </w:r>
            <w:r w:rsidR="00E87B76" w:rsidRPr="007C3449">
              <w:rPr>
                <w:color w:val="000000"/>
                <w:lang w:val="uk-UA"/>
              </w:rPr>
              <w:t>ідвищ</w:t>
            </w:r>
            <w:r>
              <w:rPr>
                <w:color w:val="000000"/>
                <w:lang w:val="uk-UA"/>
              </w:rPr>
              <w:t>ує</w:t>
            </w:r>
            <w:r w:rsidR="00E87B76" w:rsidRPr="007C3449">
              <w:rPr>
                <w:color w:val="000000"/>
                <w:lang w:val="uk-UA"/>
              </w:rPr>
              <w:t xml:space="preserve"> доречність, достовірність і зіставність інформації, яку суб’єкт господарювання подає у своєму фінансовому звіті про об’єднання бізнесу та його результати.</w:t>
            </w:r>
          </w:p>
        </w:tc>
      </w:tr>
      <w:tr w:rsidR="00E87B76" w14:paraId="37E9B794" w14:textId="349D162D" w:rsidTr="00E87B76">
        <w:tc>
          <w:tcPr>
            <w:tcW w:w="506" w:type="dxa"/>
          </w:tcPr>
          <w:p w14:paraId="37B6D0DA" w14:textId="1EFD5542" w:rsidR="00E87B76" w:rsidRPr="00351443" w:rsidRDefault="00E87B76" w:rsidP="00351443">
            <w:pPr>
              <w:pStyle w:val="a3"/>
              <w:spacing w:before="0" w:beforeAutospacing="0" w:after="0" w:afterAutospacing="0"/>
              <w:jc w:val="both"/>
              <w:rPr>
                <w:color w:val="000000"/>
                <w:lang w:val="uk-UA"/>
              </w:rPr>
            </w:pPr>
            <w:r>
              <w:rPr>
                <w:color w:val="000000"/>
                <w:lang w:val="uk-UA"/>
              </w:rPr>
              <w:t>4</w:t>
            </w:r>
          </w:p>
        </w:tc>
        <w:tc>
          <w:tcPr>
            <w:tcW w:w="3317" w:type="dxa"/>
          </w:tcPr>
          <w:p w14:paraId="7B771328" w14:textId="101360DB" w:rsidR="00E87B76" w:rsidRPr="00351443" w:rsidRDefault="00E87B76" w:rsidP="00376B67">
            <w:pPr>
              <w:pStyle w:val="a3"/>
              <w:spacing w:after="0"/>
              <w:jc w:val="both"/>
              <w:rPr>
                <w:color w:val="000000"/>
                <w:lang w:val="uk-UA"/>
              </w:rPr>
            </w:pPr>
            <w:r w:rsidRPr="00473C2E">
              <w:rPr>
                <w:color w:val="000000"/>
                <w:lang w:val="uk-UA"/>
              </w:rPr>
              <w:t>МСФЗ 5 «Непоточні активи, утримувані для продажу, та припинена діяльність»</w:t>
            </w:r>
          </w:p>
        </w:tc>
        <w:tc>
          <w:tcPr>
            <w:tcW w:w="5811" w:type="dxa"/>
          </w:tcPr>
          <w:p w14:paraId="2226EF2D" w14:textId="7F5A5BDE" w:rsidR="00E87B76" w:rsidRPr="00351443" w:rsidRDefault="00ED6780" w:rsidP="00ED6780">
            <w:pPr>
              <w:pStyle w:val="a3"/>
              <w:jc w:val="both"/>
              <w:rPr>
                <w:color w:val="000000"/>
                <w:lang w:val="uk-UA"/>
              </w:rPr>
            </w:pPr>
            <w:r>
              <w:rPr>
                <w:color w:val="000000"/>
                <w:lang w:val="uk-UA"/>
              </w:rPr>
              <w:t>В</w:t>
            </w:r>
            <w:r w:rsidR="00E87B76" w:rsidRPr="0030188D">
              <w:rPr>
                <w:color w:val="000000"/>
                <w:lang w:val="uk-UA"/>
              </w:rPr>
              <w:t>изначенн</w:t>
            </w:r>
            <w:r>
              <w:rPr>
                <w:color w:val="000000"/>
                <w:lang w:val="uk-UA"/>
              </w:rPr>
              <w:t>я</w:t>
            </w:r>
            <w:r w:rsidR="00E87B76" w:rsidRPr="0030188D">
              <w:rPr>
                <w:color w:val="000000"/>
                <w:lang w:val="uk-UA"/>
              </w:rPr>
              <w:t xml:space="preserve"> бухгалтерського обліку активів, утримуваних для продажу, та</w:t>
            </w:r>
            <w:r w:rsidR="00E87B76">
              <w:rPr>
                <w:color w:val="000000"/>
                <w:lang w:val="uk-UA"/>
              </w:rPr>
              <w:t xml:space="preserve"> </w:t>
            </w:r>
            <w:r w:rsidR="00E87B76" w:rsidRPr="0030188D">
              <w:rPr>
                <w:color w:val="000000"/>
                <w:lang w:val="uk-UA"/>
              </w:rPr>
              <w:t>поданні і розкритті інформації щодо припиненої діяльності.</w:t>
            </w:r>
          </w:p>
        </w:tc>
      </w:tr>
      <w:tr w:rsidR="00E87B76" w14:paraId="0ED1E64C" w14:textId="0D8FD304" w:rsidTr="00E87B76">
        <w:tc>
          <w:tcPr>
            <w:tcW w:w="506" w:type="dxa"/>
          </w:tcPr>
          <w:p w14:paraId="1C347BB7" w14:textId="563A525D" w:rsidR="00E87B76" w:rsidRPr="00351443" w:rsidRDefault="009E4976" w:rsidP="00351443">
            <w:pPr>
              <w:pStyle w:val="a3"/>
              <w:spacing w:before="0" w:beforeAutospacing="0" w:after="0" w:afterAutospacing="0"/>
              <w:jc w:val="both"/>
              <w:rPr>
                <w:color w:val="000000"/>
                <w:lang w:val="uk-UA"/>
              </w:rPr>
            </w:pPr>
            <w:r>
              <w:rPr>
                <w:color w:val="000000"/>
                <w:lang w:val="uk-UA"/>
              </w:rPr>
              <w:t>5</w:t>
            </w:r>
          </w:p>
        </w:tc>
        <w:tc>
          <w:tcPr>
            <w:tcW w:w="3317" w:type="dxa"/>
          </w:tcPr>
          <w:p w14:paraId="247AD1E1" w14:textId="52777152" w:rsidR="00E87B76" w:rsidRPr="00351443" w:rsidRDefault="00E87B76" w:rsidP="00376B67">
            <w:pPr>
              <w:pStyle w:val="a3"/>
              <w:spacing w:before="0" w:beforeAutospacing="0" w:afterAutospacing="0"/>
              <w:rPr>
                <w:color w:val="000000"/>
                <w:lang w:val="uk-UA"/>
              </w:rPr>
            </w:pPr>
            <w:r w:rsidRPr="00473C2E">
              <w:rPr>
                <w:color w:val="000000"/>
                <w:lang w:val="uk-UA"/>
              </w:rPr>
              <w:t>МСФЗ 6 «Розвідка та оцінка запасів корисних копалин»</w:t>
            </w:r>
          </w:p>
        </w:tc>
        <w:tc>
          <w:tcPr>
            <w:tcW w:w="5811" w:type="dxa"/>
          </w:tcPr>
          <w:p w14:paraId="16D279A3" w14:textId="3CEF4B1C" w:rsidR="00E87B76" w:rsidRPr="00351443" w:rsidRDefault="00ED6780" w:rsidP="00351443">
            <w:pPr>
              <w:pStyle w:val="a3"/>
              <w:spacing w:before="0" w:beforeAutospacing="0" w:after="0" w:afterAutospacing="0"/>
              <w:jc w:val="both"/>
              <w:rPr>
                <w:color w:val="000000"/>
                <w:lang w:val="uk-UA"/>
              </w:rPr>
            </w:pPr>
            <w:r>
              <w:rPr>
                <w:color w:val="000000"/>
                <w:lang w:val="uk-UA"/>
              </w:rPr>
              <w:t>В</w:t>
            </w:r>
            <w:r w:rsidR="00E87B76" w:rsidRPr="0030188D">
              <w:rPr>
                <w:color w:val="000000"/>
              </w:rPr>
              <w:t>визначенн</w:t>
            </w:r>
            <w:r>
              <w:rPr>
                <w:color w:val="000000"/>
                <w:lang w:val="uk-UA"/>
              </w:rPr>
              <w:t>я</w:t>
            </w:r>
            <w:r w:rsidR="00E87B76" w:rsidRPr="0030188D">
              <w:rPr>
                <w:color w:val="000000"/>
              </w:rPr>
              <w:t xml:space="preserve"> порядку фінансового звітування про розвідку та оцінку запасів корисних копалин.</w:t>
            </w:r>
          </w:p>
        </w:tc>
      </w:tr>
      <w:tr w:rsidR="00E87B76" w14:paraId="5239A69F" w14:textId="2B9BD0A4" w:rsidTr="00E87B76">
        <w:tc>
          <w:tcPr>
            <w:tcW w:w="506" w:type="dxa"/>
          </w:tcPr>
          <w:p w14:paraId="5E4F2FB1" w14:textId="77777777" w:rsidR="00E87B76" w:rsidRDefault="00E87B76" w:rsidP="00351443">
            <w:pPr>
              <w:pStyle w:val="a3"/>
              <w:spacing w:before="0" w:beforeAutospacing="0" w:after="0" w:afterAutospacing="0"/>
              <w:jc w:val="both"/>
              <w:rPr>
                <w:color w:val="000000"/>
                <w:lang w:val="uk-UA"/>
              </w:rPr>
            </w:pPr>
          </w:p>
          <w:p w14:paraId="65DAA297" w14:textId="77777777" w:rsidR="009E4976" w:rsidRDefault="009E4976" w:rsidP="00351443">
            <w:pPr>
              <w:pStyle w:val="a3"/>
              <w:spacing w:before="0" w:beforeAutospacing="0" w:after="0" w:afterAutospacing="0"/>
              <w:jc w:val="both"/>
              <w:rPr>
                <w:color w:val="000000"/>
                <w:lang w:val="uk-UA"/>
              </w:rPr>
            </w:pPr>
          </w:p>
          <w:p w14:paraId="7DE265E1" w14:textId="77777777" w:rsidR="009E4976" w:rsidRDefault="009E4976" w:rsidP="00351443">
            <w:pPr>
              <w:pStyle w:val="a3"/>
              <w:spacing w:before="0" w:beforeAutospacing="0" w:after="0" w:afterAutospacing="0"/>
              <w:jc w:val="both"/>
              <w:rPr>
                <w:color w:val="000000"/>
                <w:lang w:val="uk-UA"/>
              </w:rPr>
            </w:pPr>
          </w:p>
          <w:p w14:paraId="42B0DFC3" w14:textId="77777777" w:rsidR="009E4976" w:rsidRDefault="009E4976" w:rsidP="00351443">
            <w:pPr>
              <w:pStyle w:val="a3"/>
              <w:spacing w:before="0" w:beforeAutospacing="0" w:after="0" w:afterAutospacing="0"/>
              <w:jc w:val="both"/>
              <w:rPr>
                <w:color w:val="000000"/>
                <w:lang w:val="uk-UA"/>
              </w:rPr>
            </w:pPr>
          </w:p>
          <w:p w14:paraId="086FDEFA" w14:textId="77777777" w:rsidR="009E4976" w:rsidRDefault="009E4976" w:rsidP="00351443">
            <w:pPr>
              <w:pStyle w:val="a3"/>
              <w:spacing w:before="0" w:beforeAutospacing="0" w:after="0" w:afterAutospacing="0"/>
              <w:jc w:val="both"/>
              <w:rPr>
                <w:color w:val="000000"/>
                <w:lang w:val="uk-UA"/>
              </w:rPr>
            </w:pPr>
          </w:p>
          <w:p w14:paraId="257CA71C" w14:textId="46C9C9B4" w:rsidR="009E4976" w:rsidRPr="00351443" w:rsidRDefault="009E4976" w:rsidP="00351443">
            <w:pPr>
              <w:pStyle w:val="a3"/>
              <w:spacing w:before="0" w:beforeAutospacing="0" w:after="0" w:afterAutospacing="0"/>
              <w:jc w:val="both"/>
              <w:rPr>
                <w:color w:val="000000"/>
                <w:lang w:val="uk-UA"/>
              </w:rPr>
            </w:pPr>
            <w:r>
              <w:rPr>
                <w:color w:val="000000"/>
                <w:lang w:val="uk-UA"/>
              </w:rPr>
              <w:t>6</w:t>
            </w:r>
          </w:p>
        </w:tc>
        <w:tc>
          <w:tcPr>
            <w:tcW w:w="3317" w:type="dxa"/>
          </w:tcPr>
          <w:p w14:paraId="3A23AB2C" w14:textId="4B4346BB" w:rsidR="00E87B76" w:rsidRPr="00351443" w:rsidRDefault="00E87B76" w:rsidP="00376B67">
            <w:pPr>
              <w:pStyle w:val="a3"/>
              <w:spacing w:after="0"/>
              <w:jc w:val="both"/>
              <w:rPr>
                <w:color w:val="000000"/>
                <w:lang w:val="uk-UA"/>
              </w:rPr>
            </w:pPr>
            <w:r w:rsidRPr="00473C2E">
              <w:rPr>
                <w:color w:val="000000"/>
                <w:lang w:val="uk-UA"/>
              </w:rPr>
              <w:t>МСФЗ 7 «Фінансові інструменти: розкриття інформації»</w:t>
            </w:r>
          </w:p>
        </w:tc>
        <w:tc>
          <w:tcPr>
            <w:tcW w:w="5811" w:type="dxa"/>
          </w:tcPr>
          <w:p w14:paraId="3289C337" w14:textId="475B9902" w:rsidR="00E87B76" w:rsidRDefault="00ED6780" w:rsidP="0030188D">
            <w:pPr>
              <w:pStyle w:val="a3"/>
              <w:spacing w:before="0" w:beforeAutospacing="0" w:after="0" w:afterAutospacing="0"/>
              <w:jc w:val="both"/>
              <w:rPr>
                <w:color w:val="000000"/>
                <w:lang w:val="uk-UA"/>
              </w:rPr>
            </w:pPr>
            <w:r>
              <w:rPr>
                <w:color w:val="000000"/>
                <w:lang w:val="uk-UA"/>
              </w:rPr>
              <w:t>В</w:t>
            </w:r>
            <w:r w:rsidR="00E87B76" w:rsidRPr="0030188D">
              <w:rPr>
                <w:color w:val="000000"/>
                <w:lang w:val="uk-UA"/>
              </w:rPr>
              <w:t>имага</w:t>
            </w:r>
            <w:r>
              <w:rPr>
                <w:color w:val="000000"/>
                <w:lang w:val="uk-UA"/>
              </w:rPr>
              <w:t>є</w:t>
            </w:r>
            <w:r w:rsidR="00E87B76" w:rsidRPr="0030188D">
              <w:rPr>
                <w:color w:val="000000"/>
                <w:lang w:val="uk-UA"/>
              </w:rPr>
              <w:t xml:space="preserve"> від суб’єктів господарювання надавати у своїй фінансовій звітності</w:t>
            </w:r>
            <w:r w:rsidR="00E87B76">
              <w:rPr>
                <w:color w:val="000000"/>
                <w:lang w:val="uk-UA"/>
              </w:rPr>
              <w:t xml:space="preserve"> </w:t>
            </w:r>
            <w:r w:rsidR="00E87B76" w:rsidRPr="0030188D">
              <w:rPr>
                <w:color w:val="000000"/>
                <w:lang w:val="uk-UA"/>
              </w:rPr>
              <w:t>розкриття інформації, яка дає змогу користувачам оцінити:</w:t>
            </w:r>
          </w:p>
          <w:p w14:paraId="4E1D0590" w14:textId="77777777" w:rsidR="00E87B76" w:rsidRDefault="00E87B76" w:rsidP="0030188D">
            <w:pPr>
              <w:pStyle w:val="a3"/>
              <w:spacing w:before="0" w:beforeAutospacing="0" w:after="0" w:afterAutospacing="0"/>
              <w:jc w:val="both"/>
              <w:rPr>
                <w:color w:val="000000"/>
                <w:lang w:val="uk-UA"/>
              </w:rPr>
            </w:pPr>
            <w:r w:rsidRPr="0030188D">
              <w:rPr>
                <w:color w:val="000000"/>
                <w:lang w:val="uk-UA"/>
              </w:rPr>
              <w:t>а) значимість фінансових інструментів для фінансового стану і результатів діяльності суб’єкта</w:t>
            </w:r>
            <w:r>
              <w:rPr>
                <w:color w:val="000000"/>
                <w:lang w:val="uk-UA"/>
              </w:rPr>
              <w:t xml:space="preserve"> </w:t>
            </w:r>
            <w:r w:rsidRPr="0030188D">
              <w:rPr>
                <w:color w:val="000000"/>
                <w:lang w:val="uk-UA"/>
              </w:rPr>
              <w:t xml:space="preserve">господарювання; </w:t>
            </w:r>
          </w:p>
          <w:p w14:paraId="76EE306C" w14:textId="23820596" w:rsidR="00E87B76" w:rsidRPr="0030188D" w:rsidRDefault="00E87B76" w:rsidP="0030188D">
            <w:pPr>
              <w:pStyle w:val="a3"/>
              <w:spacing w:before="0" w:beforeAutospacing="0" w:after="0" w:afterAutospacing="0"/>
              <w:jc w:val="both"/>
              <w:rPr>
                <w:color w:val="000000"/>
                <w:lang w:val="uk-UA"/>
              </w:rPr>
            </w:pPr>
            <w:r w:rsidRPr="0030188D">
              <w:rPr>
                <w:color w:val="000000"/>
                <w:lang w:val="uk-UA"/>
              </w:rPr>
              <w:t>б) характер та величину ризиків, пов’язаних з фінансовими інструментами, до яких суб’єкт</w:t>
            </w:r>
          </w:p>
          <w:p w14:paraId="2AC492DA" w14:textId="77777777" w:rsidR="00E87B76" w:rsidRPr="0030188D" w:rsidRDefault="00E87B76" w:rsidP="0030188D">
            <w:pPr>
              <w:pStyle w:val="a3"/>
              <w:spacing w:before="0" w:beforeAutospacing="0" w:after="0" w:afterAutospacing="0"/>
              <w:jc w:val="both"/>
              <w:rPr>
                <w:color w:val="000000"/>
                <w:lang w:val="uk-UA"/>
              </w:rPr>
            </w:pPr>
            <w:r w:rsidRPr="0030188D">
              <w:rPr>
                <w:color w:val="000000"/>
                <w:lang w:val="uk-UA"/>
              </w:rPr>
              <w:t>господарювання є вразливим протягом періоду та на кінець звітного періоду, та яким чином</w:t>
            </w:r>
          </w:p>
          <w:p w14:paraId="056A9433" w14:textId="3825F1C5" w:rsidR="00E87B76" w:rsidRPr="00351443" w:rsidRDefault="00E87B76" w:rsidP="0030188D">
            <w:pPr>
              <w:pStyle w:val="a3"/>
              <w:spacing w:before="0" w:beforeAutospacing="0" w:after="0" w:afterAutospacing="0"/>
              <w:jc w:val="both"/>
              <w:rPr>
                <w:color w:val="000000"/>
                <w:lang w:val="uk-UA"/>
              </w:rPr>
            </w:pPr>
            <w:r w:rsidRPr="0030188D">
              <w:rPr>
                <w:color w:val="000000"/>
                <w:lang w:val="uk-UA"/>
              </w:rPr>
              <w:t>суб’єкт господарювання управляє цими ризиками</w:t>
            </w:r>
            <w:r>
              <w:rPr>
                <w:color w:val="000000"/>
                <w:lang w:val="uk-UA"/>
              </w:rPr>
              <w:t>.</w:t>
            </w:r>
          </w:p>
        </w:tc>
      </w:tr>
      <w:tr w:rsidR="00E87B76" w14:paraId="14A09142" w14:textId="79A4BC3E" w:rsidTr="00E87B76">
        <w:tc>
          <w:tcPr>
            <w:tcW w:w="506" w:type="dxa"/>
          </w:tcPr>
          <w:p w14:paraId="6590CE2A" w14:textId="77777777" w:rsidR="00E87B76" w:rsidRDefault="00E87B76" w:rsidP="00351443">
            <w:pPr>
              <w:pStyle w:val="a3"/>
              <w:spacing w:before="0" w:beforeAutospacing="0" w:after="0" w:afterAutospacing="0"/>
              <w:jc w:val="both"/>
              <w:rPr>
                <w:color w:val="000000"/>
                <w:lang w:val="uk-UA"/>
              </w:rPr>
            </w:pPr>
          </w:p>
          <w:p w14:paraId="261BE846" w14:textId="77777777" w:rsidR="009E4976" w:rsidRDefault="009E4976" w:rsidP="00351443">
            <w:pPr>
              <w:pStyle w:val="a3"/>
              <w:spacing w:before="0" w:beforeAutospacing="0" w:after="0" w:afterAutospacing="0"/>
              <w:jc w:val="both"/>
              <w:rPr>
                <w:color w:val="000000"/>
                <w:lang w:val="uk-UA"/>
              </w:rPr>
            </w:pPr>
          </w:p>
          <w:p w14:paraId="08BA00D9" w14:textId="17AA9BAD" w:rsidR="009E4976" w:rsidRPr="00351443" w:rsidRDefault="009E4976" w:rsidP="00351443">
            <w:pPr>
              <w:pStyle w:val="a3"/>
              <w:spacing w:before="0" w:beforeAutospacing="0" w:after="0" w:afterAutospacing="0"/>
              <w:jc w:val="both"/>
              <w:rPr>
                <w:color w:val="000000"/>
                <w:lang w:val="uk-UA"/>
              </w:rPr>
            </w:pPr>
            <w:r>
              <w:rPr>
                <w:color w:val="000000"/>
                <w:lang w:val="uk-UA"/>
              </w:rPr>
              <w:t>7</w:t>
            </w:r>
          </w:p>
        </w:tc>
        <w:tc>
          <w:tcPr>
            <w:tcW w:w="3317" w:type="dxa"/>
          </w:tcPr>
          <w:p w14:paraId="62BF4B90" w14:textId="530C7FEF" w:rsidR="00E87B76" w:rsidRPr="00351443" w:rsidRDefault="00E87B76" w:rsidP="00376B67">
            <w:pPr>
              <w:pStyle w:val="a3"/>
              <w:spacing w:before="0" w:beforeAutospacing="0" w:afterAutospacing="0"/>
              <w:rPr>
                <w:color w:val="000000"/>
                <w:lang w:val="uk-UA"/>
              </w:rPr>
            </w:pPr>
            <w:r w:rsidRPr="00376B67">
              <w:rPr>
                <w:color w:val="000000"/>
                <w:lang w:val="uk-UA"/>
              </w:rPr>
              <w:t>МСФЗ 8 «Операційні сегменти»</w:t>
            </w:r>
            <w:r w:rsidR="007C3449">
              <w:rPr>
                <w:color w:val="000000"/>
                <w:lang w:val="uk-UA"/>
              </w:rPr>
              <w:t xml:space="preserve"> </w:t>
            </w:r>
          </w:p>
        </w:tc>
        <w:tc>
          <w:tcPr>
            <w:tcW w:w="5811" w:type="dxa"/>
          </w:tcPr>
          <w:p w14:paraId="5FC2BF22" w14:textId="388E4E5B" w:rsidR="00E87B76" w:rsidRPr="0030188D" w:rsidRDefault="00E87B76" w:rsidP="00351443">
            <w:pPr>
              <w:pStyle w:val="a3"/>
              <w:spacing w:before="0" w:beforeAutospacing="0" w:after="0" w:afterAutospacing="0"/>
              <w:jc w:val="both"/>
              <w:rPr>
                <w:color w:val="000000"/>
                <w:lang w:val="uk-UA"/>
              </w:rPr>
            </w:pPr>
            <w:r w:rsidRPr="0030188D">
              <w:rPr>
                <w:lang w:val="uk-UA"/>
              </w:rPr>
              <w:t>Суб’єктові господарювання слід розкривати інформацію, щоби надати можливість користувачам фінансової звітності оцінити характер та фінансовий вплив економічної діяльності, якою він займається, а також економічні умови, за яких він функціонує.</w:t>
            </w:r>
          </w:p>
        </w:tc>
      </w:tr>
      <w:tr w:rsidR="00E87B76" w14:paraId="67CFF230" w14:textId="2389F01D" w:rsidTr="00E87B76">
        <w:tc>
          <w:tcPr>
            <w:tcW w:w="506" w:type="dxa"/>
          </w:tcPr>
          <w:p w14:paraId="62A8B04C" w14:textId="77777777" w:rsidR="00E87B76" w:rsidRDefault="00E87B76" w:rsidP="00351443">
            <w:pPr>
              <w:pStyle w:val="a3"/>
              <w:spacing w:before="0" w:beforeAutospacing="0" w:after="0" w:afterAutospacing="0"/>
              <w:jc w:val="both"/>
              <w:rPr>
                <w:color w:val="000000"/>
                <w:lang w:val="uk-UA"/>
              </w:rPr>
            </w:pPr>
          </w:p>
          <w:p w14:paraId="5DACB751" w14:textId="77777777" w:rsidR="009E4976" w:rsidRDefault="009E4976" w:rsidP="00351443">
            <w:pPr>
              <w:pStyle w:val="a3"/>
              <w:spacing w:before="0" w:beforeAutospacing="0" w:after="0" w:afterAutospacing="0"/>
              <w:jc w:val="both"/>
              <w:rPr>
                <w:color w:val="000000"/>
                <w:lang w:val="uk-UA"/>
              </w:rPr>
            </w:pPr>
          </w:p>
          <w:p w14:paraId="6EF14606" w14:textId="46018873" w:rsidR="009E4976" w:rsidRPr="00351443" w:rsidRDefault="009E4976" w:rsidP="00351443">
            <w:pPr>
              <w:pStyle w:val="a3"/>
              <w:spacing w:before="0" w:beforeAutospacing="0" w:after="0" w:afterAutospacing="0"/>
              <w:jc w:val="both"/>
              <w:rPr>
                <w:color w:val="000000"/>
                <w:lang w:val="uk-UA"/>
              </w:rPr>
            </w:pPr>
            <w:r>
              <w:rPr>
                <w:color w:val="000000"/>
                <w:lang w:val="uk-UA"/>
              </w:rPr>
              <w:t>8</w:t>
            </w:r>
          </w:p>
        </w:tc>
        <w:tc>
          <w:tcPr>
            <w:tcW w:w="3317" w:type="dxa"/>
          </w:tcPr>
          <w:p w14:paraId="39184519" w14:textId="08BF9E09" w:rsidR="00E87B76" w:rsidRPr="00351443" w:rsidRDefault="00E87B76" w:rsidP="00376B67">
            <w:pPr>
              <w:pStyle w:val="a3"/>
              <w:spacing w:before="0" w:beforeAutospacing="0" w:afterAutospacing="0"/>
              <w:rPr>
                <w:color w:val="000000"/>
                <w:lang w:val="uk-UA"/>
              </w:rPr>
            </w:pPr>
            <w:r w:rsidRPr="00376B67">
              <w:rPr>
                <w:color w:val="000000"/>
                <w:lang w:val="uk-UA"/>
              </w:rPr>
              <w:t>МСФЗ 9 «Фінансові інструменти»</w:t>
            </w:r>
          </w:p>
        </w:tc>
        <w:tc>
          <w:tcPr>
            <w:tcW w:w="5811" w:type="dxa"/>
          </w:tcPr>
          <w:p w14:paraId="731F9FBA" w14:textId="42065DE8" w:rsidR="00E87B76" w:rsidRPr="0030188D" w:rsidRDefault="00ED6780" w:rsidP="00351443">
            <w:pPr>
              <w:pStyle w:val="a3"/>
              <w:spacing w:before="0" w:beforeAutospacing="0" w:after="0" w:afterAutospacing="0"/>
              <w:jc w:val="both"/>
              <w:rPr>
                <w:color w:val="000000"/>
                <w:lang w:val="uk-UA"/>
              </w:rPr>
            </w:pPr>
            <w:r>
              <w:rPr>
                <w:lang w:val="uk-UA"/>
              </w:rPr>
              <w:t>В</w:t>
            </w:r>
            <w:r w:rsidR="00E87B76" w:rsidRPr="0030188D">
              <w:rPr>
                <w:lang w:val="uk-UA"/>
              </w:rPr>
              <w:t>изнач</w:t>
            </w:r>
            <w:r>
              <w:rPr>
                <w:lang w:val="uk-UA"/>
              </w:rPr>
              <w:t>ення</w:t>
            </w:r>
            <w:r w:rsidR="00E87B76" w:rsidRPr="0030188D">
              <w:rPr>
                <w:lang w:val="uk-UA"/>
              </w:rPr>
              <w:t xml:space="preserve"> принцип</w:t>
            </w:r>
            <w:r>
              <w:rPr>
                <w:lang w:val="uk-UA"/>
              </w:rPr>
              <w:t>ів</w:t>
            </w:r>
            <w:r w:rsidR="00E87B76" w:rsidRPr="0030188D">
              <w:rPr>
                <w:lang w:val="uk-UA"/>
              </w:rPr>
              <w:t xml:space="preserve"> фінансової звітності щодо фінансових активів і фінансових зобов'язань, які забезпечать надання користувачам фінансової звітності доречної та корисної інформації, необхідної для виконання ними оцінки сум, строків і невизначеності майбутніх грошових потоків суб'єкта господарювання.</w:t>
            </w:r>
          </w:p>
        </w:tc>
      </w:tr>
      <w:tr w:rsidR="00E87B76" w14:paraId="03719A0A" w14:textId="488F0DB7" w:rsidTr="00E87B76">
        <w:tc>
          <w:tcPr>
            <w:tcW w:w="506" w:type="dxa"/>
          </w:tcPr>
          <w:p w14:paraId="7CEB86A5" w14:textId="77777777" w:rsidR="00E87B76" w:rsidRDefault="00E87B76" w:rsidP="00351443">
            <w:pPr>
              <w:pStyle w:val="a3"/>
              <w:spacing w:before="0" w:beforeAutospacing="0" w:after="0" w:afterAutospacing="0"/>
              <w:jc w:val="both"/>
              <w:rPr>
                <w:color w:val="000000"/>
                <w:lang w:val="uk-UA"/>
              </w:rPr>
            </w:pPr>
          </w:p>
          <w:p w14:paraId="2F8B1160" w14:textId="55AC63BA" w:rsidR="009E4976" w:rsidRPr="00351443" w:rsidRDefault="009E4976" w:rsidP="00351443">
            <w:pPr>
              <w:pStyle w:val="a3"/>
              <w:spacing w:before="0" w:beforeAutospacing="0" w:after="0" w:afterAutospacing="0"/>
              <w:jc w:val="both"/>
              <w:rPr>
                <w:color w:val="000000"/>
                <w:lang w:val="uk-UA"/>
              </w:rPr>
            </w:pPr>
            <w:r>
              <w:rPr>
                <w:color w:val="000000"/>
                <w:lang w:val="uk-UA"/>
              </w:rPr>
              <w:t>9</w:t>
            </w:r>
          </w:p>
        </w:tc>
        <w:tc>
          <w:tcPr>
            <w:tcW w:w="3317" w:type="dxa"/>
          </w:tcPr>
          <w:p w14:paraId="41185002" w14:textId="77777777" w:rsidR="00E87B76" w:rsidRPr="00376B67" w:rsidRDefault="00E87B76" w:rsidP="00376B67">
            <w:pPr>
              <w:pStyle w:val="a3"/>
              <w:spacing w:before="0" w:beforeAutospacing="0" w:afterAutospacing="0"/>
              <w:rPr>
                <w:color w:val="000000"/>
                <w:lang w:val="uk-UA"/>
              </w:rPr>
            </w:pPr>
            <w:r w:rsidRPr="00376B67">
              <w:rPr>
                <w:color w:val="000000"/>
                <w:lang w:val="uk-UA"/>
              </w:rPr>
              <w:t>МСФЗ 10 «Консолідована фінансова звітність»</w:t>
            </w:r>
          </w:p>
          <w:p w14:paraId="052665F9" w14:textId="77777777" w:rsidR="00E87B76" w:rsidRPr="00351443" w:rsidRDefault="00E87B76" w:rsidP="00351443">
            <w:pPr>
              <w:pStyle w:val="a3"/>
              <w:spacing w:before="0" w:beforeAutospacing="0" w:after="0" w:afterAutospacing="0"/>
              <w:jc w:val="both"/>
              <w:rPr>
                <w:color w:val="000000"/>
                <w:lang w:val="uk-UA"/>
              </w:rPr>
            </w:pPr>
          </w:p>
        </w:tc>
        <w:tc>
          <w:tcPr>
            <w:tcW w:w="5811" w:type="dxa"/>
          </w:tcPr>
          <w:p w14:paraId="2D22A99F" w14:textId="0D3A7713" w:rsidR="00E87B76" w:rsidRPr="00351443" w:rsidRDefault="00ED6780" w:rsidP="00351443">
            <w:pPr>
              <w:pStyle w:val="a3"/>
              <w:spacing w:before="0" w:beforeAutospacing="0" w:after="0" w:afterAutospacing="0"/>
              <w:jc w:val="both"/>
              <w:rPr>
                <w:color w:val="000000"/>
                <w:lang w:val="uk-UA"/>
              </w:rPr>
            </w:pPr>
            <w:r>
              <w:rPr>
                <w:color w:val="000000"/>
                <w:lang w:val="uk-UA"/>
              </w:rPr>
              <w:t>В</w:t>
            </w:r>
            <w:r w:rsidR="00E87B76" w:rsidRPr="007C3449">
              <w:rPr>
                <w:color w:val="000000"/>
                <w:lang w:val="uk-UA"/>
              </w:rPr>
              <w:t>станов</w:t>
            </w:r>
            <w:r>
              <w:rPr>
                <w:color w:val="000000"/>
                <w:lang w:val="uk-UA"/>
              </w:rPr>
              <w:t>лення</w:t>
            </w:r>
            <w:r w:rsidR="00E87B76" w:rsidRPr="007C3449">
              <w:rPr>
                <w:color w:val="000000"/>
                <w:lang w:val="uk-UA"/>
              </w:rPr>
              <w:t xml:space="preserve"> принципи подання та підготовки консолідованої фінансової звітності, коли суб’єкт господарювання контролює одного або кількох інших суб’єктів господарювання.</w:t>
            </w:r>
          </w:p>
        </w:tc>
      </w:tr>
      <w:tr w:rsidR="00E87B76" w14:paraId="3BDFC6A0" w14:textId="3A56867B" w:rsidTr="00E87B76">
        <w:tc>
          <w:tcPr>
            <w:tcW w:w="506" w:type="dxa"/>
          </w:tcPr>
          <w:p w14:paraId="6E551535" w14:textId="77777777" w:rsidR="00E87B76" w:rsidRDefault="00E87B76" w:rsidP="00351443">
            <w:pPr>
              <w:pStyle w:val="a3"/>
              <w:spacing w:before="0" w:beforeAutospacing="0" w:after="0" w:afterAutospacing="0"/>
              <w:jc w:val="both"/>
              <w:rPr>
                <w:color w:val="000000"/>
                <w:lang w:val="uk-UA"/>
              </w:rPr>
            </w:pPr>
          </w:p>
          <w:p w14:paraId="382F2DA7" w14:textId="3190DCBA" w:rsidR="009E4976" w:rsidRPr="00351443" w:rsidRDefault="009E4976" w:rsidP="00351443">
            <w:pPr>
              <w:pStyle w:val="a3"/>
              <w:spacing w:before="0" w:beforeAutospacing="0" w:after="0" w:afterAutospacing="0"/>
              <w:jc w:val="both"/>
              <w:rPr>
                <w:color w:val="000000"/>
                <w:lang w:val="uk-UA"/>
              </w:rPr>
            </w:pPr>
            <w:r>
              <w:rPr>
                <w:color w:val="000000"/>
                <w:lang w:val="uk-UA"/>
              </w:rPr>
              <w:t>10</w:t>
            </w:r>
          </w:p>
        </w:tc>
        <w:tc>
          <w:tcPr>
            <w:tcW w:w="3317" w:type="dxa"/>
          </w:tcPr>
          <w:p w14:paraId="04F7261B" w14:textId="3A1E6290" w:rsidR="00E87B76" w:rsidRPr="00351443" w:rsidRDefault="00E87B76" w:rsidP="00376B67">
            <w:pPr>
              <w:pStyle w:val="a3"/>
              <w:spacing w:before="0" w:beforeAutospacing="0" w:afterAutospacing="0"/>
              <w:rPr>
                <w:color w:val="000000"/>
                <w:lang w:val="uk-UA"/>
              </w:rPr>
            </w:pPr>
            <w:r w:rsidRPr="00376B67">
              <w:rPr>
                <w:color w:val="000000"/>
                <w:lang w:val="uk-UA"/>
              </w:rPr>
              <w:t>МСФЗ 11 «Спільна діяльність»</w:t>
            </w:r>
          </w:p>
        </w:tc>
        <w:tc>
          <w:tcPr>
            <w:tcW w:w="5811" w:type="dxa"/>
          </w:tcPr>
          <w:p w14:paraId="187D8366" w14:textId="511696D8" w:rsidR="00E87B76" w:rsidRPr="00351443" w:rsidRDefault="00ED6780" w:rsidP="00351443">
            <w:pPr>
              <w:pStyle w:val="a3"/>
              <w:spacing w:before="0" w:beforeAutospacing="0" w:after="0" w:afterAutospacing="0"/>
              <w:jc w:val="both"/>
              <w:rPr>
                <w:color w:val="000000"/>
                <w:lang w:val="uk-UA"/>
              </w:rPr>
            </w:pPr>
            <w:r>
              <w:rPr>
                <w:color w:val="000000"/>
                <w:lang w:val="uk-UA"/>
              </w:rPr>
              <w:t>В</w:t>
            </w:r>
            <w:r w:rsidR="00E87B76" w:rsidRPr="007C3449">
              <w:rPr>
                <w:color w:val="000000"/>
                <w:lang w:val="uk-UA"/>
              </w:rPr>
              <w:t>изнач</w:t>
            </w:r>
            <w:r>
              <w:rPr>
                <w:color w:val="000000"/>
                <w:lang w:val="uk-UA"/>
              </w:rPr>
              <w:t>ає</w:t>
            </w:r>
            <w:r w:rsidR="00E87B76" w:rsidRPr="007C3449">
              <w:rPr>
                <w:color w:val="000000"/>
                <w:lang w:val="uk-UA"/>
              </w:rPr>
              <w:t xml:space="preserve"> принципи фінансового звітування суб’єктів господарювання, які мають частки участі в діяльності, що спільно контролюється (тобто у спільній діяльності).</w:t>
            </w:r>
          </w:p>
        </w:tc>
      </w:tr>
      <w:tr w:rsidR="00E87B76" w14:paraId="3C41219F" w14:textId="4105DBA1" w:rsidTr="00E87B76">
        <w:tc>
          <w:tcPr>
            <w:tcW w:w="506" w:type="dxa"/>
          </w:tcPr>
          <w:p w14:paraId="02CBFE3F" w14:textId="77777777" w:rsidR="00E87B76" w:rsidRDefault="00E87B76" w:rsidP="00351443">
            <w:pPr>
              <w:pStyle w:val="a3"/>
              <w:spacing w:before="0" w:beforeAutospacing="0" w:after="0" w:afterAutospacing="0"/>
              <w:jc w:val="both"/>
              <w:rPr>
                <w:color w:val="000000"/>
                <w:lang w:val="uk-UA"/>
              </w:rPr>
            </w:pPr>
          </w:p>
          <w:p w14:paraId="0AB55D62" w14:textId="77777777" w:rsidR="009E4976" w:rsidRDefault="009E4976" w:rsidP="00351443">
            <w:pPr>
              <w:pStyle w:val="a3"/>
              <w:spacing w:before="0" w:beforeAutospacing="0" w:after="0" w:afterAutospacing="0"/>
              <w:jc w:val="both"/>
              <w:rPr>
                <w:color w:val="000000"/>
                <w:lang w:val="uk-UA"/>
              </w:rPr>
            </w:pPr>
          </w:p>
          <w:p w14:paraId="12D3AB44" w14:textId="38DD293F" w:rsidR="009E4976" w:rsidRPr="00351443" w:rsidRDefault="009E4976" w:rsidP="00351443">
            <w:pPr>
              <w:pStyle w:val="a3"/>
              <w:spacing w:before="0" w:beforeAutospacing="0" w:after="0" w:afterAutospacing="0"/>
              <w:jc w:val="both"/>
              <w:rPr>
                <w:color w:val="000000"/>
                <w:lang w:val="uk-UA"/>
              </w:rPr>
            </w:pPr>
            <w:r>
              <w:rPr>
                <w:color w:val="000000"/>
                <w:lang w:val="uk-UA"/>
              </w:rPr>
              <w:t>11</w:t>
            </w:r>
          </w:p>
        </w:tc>
        <w:tc>
          <w:tcPr>
            <w:tcW w:w="3317" w:type="dxa"/>
          </w:tcPr>
          <w:p w14:paraId="5D5DF996" w14:textId="3AB7F6FE" w:rsidR="00E87B76" w:rsidRPr="00351443" w:rsidRDefault="00E87B76" w:rsidP="00376B67">
            <w:pPr>
              <w:pStyle w:val="a3"/>
              <w:spacing w:before="0" w:beforeAutospacing="0" w:afterAutospacing="0"/>
              <w:rPr>
                <w:color w:val="000000"/>
                <w:lang w:val="uk-UA"/>
              </w:rPr>
            </w:pPr>
            <w:r w:rsidRPr="00376B67">
              <w:rPr>
                <w:color w:val="000000"/>
                <w:lang w:val="uk-UA"/>
              </w:rPr>
              <w:t>МСФЗ 12 «Розкриття інформації про частки участі в інших суб’єктах господарювання»</w:t>
            </w:r>
          </w:p>
        </w:tc>
        <w:tc>
          <w:tcPr>
            <w:tcW w:w="5811" w:type="dxa"/>
          </w:tcPr>
          <w:p w14:paraId="793CDDEF" w14:textId="08203267" w:rsidR="00E87B76" w:rsidRPr="00351443" w:rsidRDefault="00ED6780" w:rsidP="00351443">
            <w:pPr>
              <w:pStyle w:val="a3"/>
              <w:spacing w:before="0" w:beforeAutospacing="0" w:after="0" w:afterAutospacing="0"/>
              <w:jc w:val="both"/>
              <w:rPr>
                <w:color w:val="000000"/>
                <w:lang w:val="uk-UA"/>
              </w:rPr>
            </w:pPr>
            <w:r>
              <w:rPr>
                <w:color w:val="000000"/>
                <w:lang w:val="uk-UA"/>
              </w:rPr>
              <w:t>В</w:t>
            </w:r>
            <w:r w:rsidR="00E87B76" w:rsidRPr="007C3449">
              <w:rPr>
                <w:color w:val="000000"/>
                <w:lang w:val="uk-UA"/>
              </w:rPr>
              <w:t>имага</w:t>
            </w:r>
            <w:r>
              <w:rPr>
                <w:color w:val="000000"/>
                <w:lang w:val="uk-UA"/>
              </w:rPr>
              <w:t>є</w:t>
            </w:r>
            <w:r w:rsidR="00E87B76" w:rsidRPr="007C3449">
              <w:rPr>
                <w:color w:val="000000"/>
                <w:lang w:val="uk-UA"/>
              </w:rPr>
              <w:t xml:space="preserve"> від суб'єкта господарювання розкривати інформацію, за допомогою якої користувачі його фінансової звітності могли б оцінити: а) характер його часток участі в інших суб'єктах господарювання; та б) впливи таких часток участі на його фінансовий стан, фінансові результати діяльності та грошові потоки.</w:t>
            </w:r>
          </w:p>
        </w:tc>
      </w:tr>
    </w:tbl>
    <w:p w14:paraId="69740552" w14:textId="77777777" w:rsidR="009E4976" w:rsidRPr="009E4976" w:rsidRDefault="009E4976" w:rsidP="00351443">
      <w:pPr>
        <w:pStyle w:val="a3"/>
        <w:spacing w:before="0" w:beforeAutospacing="0" w:after="0" w:afterAutospacing="0"/>
        <w:jc w:val="both"/>
        <w:rPr>
          <w:rFonts w:asciiTheme="minorHAnsi" w:eastAsiaTheme="minorHAnsi" w:hAnsiTheme="minorHAnsi" w:cstheme="minorBidi"/>
          <w:sz w:val="22"/>
          <w:szCs w:val="22"/>
          <w:lang w:val="uk-UA" w:eastAsia="en-US"/>
        </w:rPr>
        <w:sectPr w:rsidR="009E4976" w:rsidRPr="009E4976" w:rsidSect="00351443">
          <w:headerReference w:type="default" r:id="rId6"/>
          <w:pgSz w:w="11906" w:h="16838"/>
          <w:pgMar w:top="1134" w:right="1134" w:bottom="1134" w:left="1134" w:header="708" w:footer="708" w:gutter="0"/>
          <w:cols w:space="708"/>
          <w:docGrid w:linePitch="360"/>
        </w:sectPr>
      </w:pPr>
    </w:p>
    <w:p w14:paraId="74162648" w14:textId="5C1068AF" w:rsidR="009E4976" w:rsidRPr="009E4976" w:rsidRDefault="009E4976" w:rsidP="009E4976">
      <w:pPr>
        <w:jc w:val="right"/>
        <w:rPr>
          <w:rFonts w:ascii="Times New Roman" w:hAnsi="Times New Roman" w:cs="Times New Roman"/>
          <w:sz w:val="28"/>
          <w:szCs w:val="28"/>
          <w:lang w:val="uk-UA"/>
        </w:rPr>
      </w:pPr>
      <w:r w:rsidRPr="009E4976">
        <w:rPr>
          <w:rFonts w:ascii="Times New Roman" w:hAnsi="Times New Roman" w:cs="Times New Roman"/>
          <w:sz w:val="28"/>
          <w:szCs w:val="28"/>
          <w:lang w:val="uk-UA"/>
        </w:rPr>
        <w:lastRenderedPageBreak/>
        <w:t>Продовження таблиці 1</w:t>
      </w:r>
    </w:p>
    <w:tbl>
      <w:tblPr>
        <w:tblStyle w:val="a7"/>
        <w:tblW w:w="9634" w:type="dxa"/>
        <w:tblLook w:val="04A0" w:firstRow="1" w:lastRow="0" w:firstColumn="1" w:lastColumn="0" w:noHBand="0" w:noVBand="1"/>
      </w:tblPr>
      <w:tblGrid>
        <w:gridCol w:w="506"/>
        <w:gridCol w:w="3317"/>
        <w:gridCol w:w="5811"/>
      </w:tblGrid>
      <w:tr w:rsidR="00E87B76" w14:paraId="3FCAF137" w14:textId="3BC957B8" w:rsidTr="00E87B76">
        <w:tc>
          <w:tcPr>
            <w:tcW w:w="506" w:type="dxa"/>
          </w:tcPr>
          <w:p w14:paraId="4161EFB2" w14:textId="700467FC" w:rsidR="00E87B76" w:rsidRDefault="009E4976" w:rsidP="00351443">
            <w:pPr>
              <w:pStyle w:val="a3"/>
              <w:spacing w:before="0" w:beforeAutospacing="0" w:after="0" w:afterAutospacing="0"/>
              <w:jc w:val="both"/>
              <w:rPr>
                <w:color w:val="000000"/>
                <w:lang w:val="uk-UA"/>
              </w:rPr>
            </w:pPr>
            <w:r>
              <w:rPr>
                <w:rFonts w:asciiTheme="minorHAnsi" w:eastAsiaTheme="minorHAnsi" w:hAnsiTheme="minorHAnsi" w:cstheme="minorBidi"/>
                <w:sz w:val="22"/>
                <w:szCs w:val="22"/>
                <w:lang w:eastAsia="en-US"/>
              </w:rPr>
              <w:br w:type="page"/>
            </w:r>
            <w:r>
              <w:rPr>
                <w:rFonts w:asciiTheme="minorHAnsi" w:eastAsiaTheme="minorHAnsi" w:hAnsiTheme="minorHAnsi" w:cstheme="minorBidi"/>
                <w:sz w:val="22"/>
                <w:szCs w:val="22"/>
                <w:lang w:eastAsia="en-US"/>
              </w:rPr>
              <w:br w:type="page"/>
            </w:r>
          </w:p>
          <w:p w14:paraId="4B30361A" w14:textId="77777777" w:rsidR="009E4976" w:rsidRDefault="009E4976" w:rsidP="00351443">
            <w:pPr>
              <w:pStyle w:val="a3"/>
              <w:spacing w:before="0" w:beforeAutospacing="0" w:after="0" w:afterAutospacing="0"/>
              <w:jc w:val="both"/>
              <w:rPr>
                <w:color w:val="000000"/>
                <w:lang w:val="uk-UA"/>
              </w:rPr>
            </w:pPr>
          </w:p>
          <w:p w14:paraId="29B399E5" w14:textId="59FCEBA2" w:rsidR="009E4976" w:rsidRPr="00351443" w:rsidRDefault="009E4976" w:rsidP="00351443">
            <w:pPr>
              <w:pStyle w:val="a3"/>
              <w:spacing w:before="0" w:beforeAutospacing="0" w:after="0" w:afterAutospacing="0"/>
              <w:jc w:val="both"/>
              <w:rPr>
                <w:color w:val="000000"/>
                <w:lang w:val="uk-UA"/>
              </w:rPr>
            </w:pPr>
            <w:r>
              <w:rPr>
                <w:color w:val="000000"/>
                <w:lang w:val="uk-UA"/>
              </w:rPr>
              <w:t>12</w:t>
            </w:r>
          </w:p>
        </w:tc>
        <w:tc>
          <w:tcPr>
            <w:tcW w:w="3317" w:type="dxa"/>
          </w:tcPr>
          <w:p w14:paraId="6A23A474" w14:textId="3E8B4F75" w:rsidR="00E87B76" w:rsidRPr="00351443" w:rsidRDefault="00E87B76" w:rsidP="00376B67">
            <w:pPr>
              <w:pStyle w:val="a3"/>
              <w:spacing w:before="0" w:beforeAutospacing="0" w:afterAutospacing="0"/>
              <w:rPr>
                <w:color w:val="000000"/>
                <w:lang w:val="uk-UA"/>
              </w:rPr>
            </w:pPr>
            <w:r w:rsidRPr="00376B67">
              <w:rPr>
                <w:color w:val="000000"/>
                <w:lang w:val="uk-UA"/>
              </w:rPr>
              <w:t>МСФЗ 13 «Оцінка справедливої вартості»</w:t>
            </w:r>
          </w:p>
        </w:tc>
        <w:tc>
          <w:tcPr>
            <w:tcW w:w="5811" w:type="dxa"/>
          </w:tcPr>
          <w:p w14:paraId="48EB7E32" w14:textId="77777777" w:rsidR="00E87B76" w:rsidRPr="00376B67" w:rsidRDefault="00E87B76" w:rsidP="00376B67">
            <w:pPr>
              <w:pStyle w:val="a3"/>
              <w:spacing w:before="0" w:beforeAutospacing="0" w:after="0" w:afterAutospacing="0"/>
              <w:jc w:val="both"/>
              <w:rPr>
                <w:color w:val="000000"/>
                <w:lang w:val="uk-UA"/>
              </w:rPr>
            </w:pPr>
            <w:r w:rsidRPr="00376B67">
              <w:rPr>
                <w:color w:val="000000"/>
                <w:lang w:val="uk-UA"/>
              </w:rPr>
              <w:t>Цей МСФЗ:</w:t>
            </w:r>
          </w:p>
          <w:p w14:paraId="0D551D55" w14:textId="77777777" w:rsidR="00E87B76" w:rsidRPr="00376B67" w:rsidRDefault="00E87B76" w:rsidP="00376B67">
            <w:pPr>
              <w:pStyle w:val="a3"/>
              <w:spacing w:before="0" w:beforeAutospacing="0" w:after="0" w:afterAutospacing="0"/>
              <w:jc w:val="both"/>
              <w:rPr>
                <w:color w:val="000000"/>
                <w:lang w:val="uk-UA"/>
              </w:rPr>
            </w:pPr>
            <w:r w:rsidRPr="00376B67">
              <w:rPr>
                <w:color w:val="000000"/>
                <w:lang w:val="uk-UA"/>
              </w:rPr>
              <w:t>а) визначає справедливу вартість;</w:t>
            </w:r>
          </w:p>
          <w:p w14:paraId="2C151FA5" w14:textId="26370A80" w:rsidR="00E87B76" w:rsidRPr="00376B67" w:rsidRDefault="00E87B76" w:rsidP="00376B67">
            <w:pPr>
              <w:pStyle w:val="a3"/>
              <w:spacing w:before="0" w:beforeAutospacing="0" w:after="0" w:afterAutospacing="0"/>
              <w:jc w:val="both"/>
              <w:rPr>
                <w:color w:val="000000"/>
                <w:lang w:val="uk-UA"/>
              </w:rPr>
            </w:pPr>
            <w:r w:rsidRPr="00376B67">
              <w:rPr>
                <w:color w:val="000000"/>
                <w:lang w:val="uk-UA"/>
              </w:rPr>
              <w:t>б) містить в одному МСФЗ концептуальну основу оцінювання</w:t>
            </w:r>
            <w:r>
              <w:rPr>
                <w:color w:val="000000"/>
                <w:lang w:val="uk-UA"/>
              </w:rPr>
              <w:t xml:space="preserve"> </w:t>
            </w:r>
            <w:r w:rsidRPr="00376B67">
              <w:rPr>
                <w:color w:val="000000"/>
                <w:lang w:val="uk-UA"/>
              </w:rPr>
              <w:t>справедливої вартості; та</w:t>
            </w:r>
          </w:p>
          <w:p w14:paraId="7468F42B" w14:textId="19BF7E19" w:rsidR="00E87B76" w:rsidRPr="00351443" w:rsidRDefault="00E87B76" w:rsidP="00376B67">
            <w:pPr>
              <w:pStyle w:val="a3"/>
              <w:spacing w:before="0" w:beforeAutospacing="0" w:after="0" w:afterAutospacing="0"/>
              <w:jc w:val="both"/>
              <w:rPr>
                <w:color w:val="000000"/>
                <w:lang w:val="uk-UA"/>
              </w:rPr>
            </w:pPr>
            <w:r w:rsidRPr="00376B67">
              <w:rPr>
                <w:color w:val="000000"/>
                <w:lang w:val="uk-UA"/>
              </w:rPr>
              <w:t>в) вимагає розкривати інформацію про оцінки справедливої</w:t>
            </w:r>
            <w:r>
              <w:rPr>
                <w:color w:val="000000"/>
                <w:lang w:val="uk-UA"/>
              </w:rPr>
              <w:t xml:space="preserve"> </w:t>
            </w:r>
            <w:r w:rsidRPr="00376B67">
              <w:rPr>
                <w:color w:val="000000"/>
                <w:lang w:val="uk-UA"/>
              </w:rPr>
              <w:t>вартості.</w:t>
            </w:r>
          </w:p>
        </w:tc>
      </w:tr>
      <w:tr w:rsidR="00E87B76" w14:paraId="5CD20E21" w14:textId="79148BE6" w:rsidTr="00E87B76">
        <w:tc>
          <w:tcPr>
            <w:tcW w:w="506" w:type="dxa"/>
          </w:tcPr>
          <w:p w14:paraId="34EF8780" w14:textId="77777777" w:rsidR="00E87B76" w:rsidRDefault="00E87B76" w:rsidP="00351443">
            <w:pPr>
              <w:pStyle w:val="a3"/>
              <w:spacing w:before="0" w:beforeAutospacing="0" w:after="0" w:afterAutospacing="0"/>
              <w:jc w:val="both"/>
              <w:rPr>
                <w:color w:val="000000"/>
                <w:lang w:val="uk-UA"/>
              </w:rPr>
            </w:pPr>
          </w:p>
          <w:p w14:paraId="5801B2C2" w14:textId="77777777" w:rsidR="009E4976" w:rsidRDefault="009E4976" w:rsidP="00351443">
            <w:pPr>
              <w:pStyle w:val="a3"/>
              <w:spacing w:before="0" w:beforeAutospacing="0" w:after="0" w:afterAutospacing="0"/>
              <w:jc w:val="both"/>
              <w:rPr>
                <w:color w:val="000000"/>
                <w:lang w:val="uk-UA"/>
              </w:rPr>
            </w:pPr>
          </w:p>
          <w:p w14:paraId="67949562" w14:textId="5AAA2CA1" w:rsidR="009E4976" w:rsidRPr="00351443" w:rsidRDefault="009E4976" w:rsidP="00351443">
            <w:pPr>
              <w:pStyle w:val="a3"/>
              <w:spacing w:before="0" w:beforeAutospacing="0" w:after="0" w:afterAutospacing="0"/>
              <w:jc w:val="both"/>
              <w:rPr>
                <w:color w:val="000000"/>
                <w:lang w:val="uk-UA"/>
              </w:rPr>
            </w:pPr>
            <w:r>
              <w:rPr>
                <w:color w:val="000000"/>
                <w:lang w:val="uk-UA"/>
              </w:rPr>
              <w:t>13</w:t>
            </w:r>
          </w:p>
        </w:tc>
        <w:tc>
          <w:tcPr>
            <w:tcW w:w="3317" w:type="dxa"/>
          </w:tcPr>
          <w:p w14:paraId="4A33B89A" w14:textId="0174058A" w:rsidR="00E87B76" w:rsidRPr="00351443" w:rsidRDefault="00E87B76" w:rsidP="00376B67">
            <w:pPr>
              <w:pStyle w:val="a3"/>
              <w:spacing w:before="0" w:beforeAutospacing="0" w:afterAutospacing="0"/>
              <w:rPr>
                <w:color w:val="000000"/>
                <w:lang w:val="uk-UA"/>
              </w:rPr>
            </w:pPr>
            <w:r w:rsidRPr="00376B67">
              <w:rPr>
                <w:color w:val="000000"/>
                <w:lang w:val="uk-UA"/>
              </w:rPr>
              <w:t>МСФЗ 14 «Відстрочені рахунки тарифного регулювання»</w:t>
            </w:r>
          </w:p>
        </w:tc>
        <w:tc>
          <w:tcPr>
            <w:tcW w:w="5811" w:type="dxa"/>
          </w:tcPr>
          <w:p w14:paraId="3D3DCA48" w14:textId="2721D0BA" w:rsidR="00E87B76" w:rsidRPr="009B41B9" w:rsidRDefault="00E87B76" w:rsidP="00351443">
            <w:pPr>
              <w:pStyle w:val="a3"/>
              <w:spacing w:before="0" w:beforeAutospacing="0" w:after="0" w:afterAutospacing="0"/>
              <w:jc w:val="both"/>
              <w:rPr>
                <w:color w:val="000000"/>
                <w:lang w:val="uk-UA"/>
              </w:rPr>
            </w:pPr>
            <w:r w:rsidRPr="007C3449">
              <w:rPr>
                <w:color w:val="000000"/>
                <w:lang w:val="uk-UA"/>
              </w:rPr>
              <w:t>Мета цього Стандарту – визначити вимоги щодо відображення у фінансовій звітності залишків за відстроченими рахунками тарифного регулювання, які виникають, коли суб’єкт господарювання надає товари або послуги клієнтам за ціною або тарифом, що підлягає тарифному регулюванню.</w:t>
            </w:r>
          </w:p>
        </w:tc>
      </w:tr>
      <w:tr w:rsidR="00E87B76" w14:paraId="1EF1A15E" w14:textId="74572A50" w:rsidTr="00E87B76">
        <w:tc>
          <w:tcPr>
            <w:tcW w:w="506" w:type="dxa"/>
          </w:tcPr>
          <w:p w14:paraId="1E491D53" w14:textId="77777777" w:rsidR="00E87B76" w:rsidRDefault="00E87B76" w:rsidP="00351443">
            <w:pPr>
              <w:pStyle w:val="a3"/>
              <w:spacing w:before="0" w:beforeAutospacing="0" w:after="0" w:afterAutospacing="0"/>
              <w:jc w:val="both"/>
              <w:rPr>
                <w:color w:val="000000"/>
                <w:lang w:val="uk-UA"/>
              </w:rPr>
            </w:pPr>
          </w:p>
          <w:p w14:paraId="1388AB51" w14:textId="77777777" w:rsidR="009E4976" w:rsidRDefault="009E4976" w:rsidP="00351443">
            <w:pPr>
              <w:pStyle w:val="a3"/>
              <w:spacing w:before="0" w:beforeAutospacing="0" w:after="0" w:afterAutospacing="0"/>
              <w:jc w:val="both"/>
              <w:rPr>
                <w:color w:val="000000"/>
                <w:lang w:val="uk-UA"/>
              </w:rPr>
            </w:pPr>
          </w:p>
          <w:p w14:paraId="781E4734" w14:textId="77777777" w:rsidR="009E4976" w:rsidRDefault="009E4976" w:rsidP="00351443">
            <w:pPr>
              <w:pStyle w:val="a3"/>
              <w:spacing w:before="0" w:beforeAutospacing="0" w:after="0" w:afterAutospacing="0"/>
              <w:jc w:val="both"/>
              <w:rPr>
                <w:color w:val="000000"/>
                <w:lang w:val="uk-UA"/>
              </w:rPr>
            </w:pPr>
          </w:p>
          <w:p w14:paraId="0174ECB2" w14:textId="28BD81D1" w:rsidR="009E4976" w:rsidRPr="00351443" w:rsidRDefault="009E4976" w:rsidP="00351443">
            <w:pPr>
              <w:pStyle w:val="a3"/>
              <w:spacing w:before="0" w:beforeAutospacing="0" w:after="0" w:afterAutospacing="0"/>
              <w:jc w:val="both"/>
              <w:rPr>
                <w:color w:val="000000"/>
                <w:lang w:val="uk-UA"/>
              </w:rPr>
            </w:pPr>
            <w:r>
              <w:rPr>
                <w:color w:val="000000"/>
                <w:lang w:val="uk-UA"/>
              </w:rPr>
              <w:t>14</w:t>
            </w:r>
          </w:p>
        </w:tc>
        <w:tc>
          <w:tcPr>
            <w:tcW w:w="3317" w:type="dxa"/>
          </w:tcPr>
          <w:p w14:paraId="7DA920EF" w14:textId="5B051DED" w:rsidR="00E87B76" w:rsidRPr="00351443" w:rsidRDefault="00E87B76" w:rsidP="00376B67">
            <w:pPr>
              <w:pStyle w:val="a3"/>
              <w:spacing w:before="0" w:beforeAutospacing="0" w:afterAutospacing="0"/>
              <w:rPr>
                <w:color w:val="000000"/>
                <w:lang w:val="uk-UA"/>
              </w:rPr>
            </w:pPr>
            <w:r w:rsidRPr="00376B67">
              <w:rPr>
                <w:color w:val="000000"/>
                <w:lang w:val="uk-UA"/>
              </w:rPr>
              <w:t>МСФЗ 15 «Дохід від договорів з клієнтами»</w:t>
            </w:r>
          </w:p>
        </w:tc>
        <w:tc>
          <w:tcPr>
            <w:tcW w:w="5811" w:type="dxa"/>
          </w:tcPr>
          <w:p w14:paraId="5C615A79" w14:textId="1DB191C7" w:rsidR="00E87B76" w:rsidRPr="00351443" w:rsidRDefault="00E87B76" w:rsidP="00351443">
            <w:pPr>
              <w:pStyle w:val="a3"/>
              <w:spacing w:before="0" w:beforeAutospacing="0" w:after="0" w:afterAutospacing="0"/>
              <w:jc w:val="both"/>
              <w:rPr>
                <w:color w:val="000000"/>
                <w:lang w:val="uk-UA"/>
              </w:rPr>
            </w:pPr>
            <w:r w:rsidRPr="007C3449">
              <w:rPr>
                <w:color w:val="000000"/>
                <w:lang w:val="uk-UA"/>
              </w:rPr>
              <w:t>Метою цього Стандарту є встановлення принципів, які підприємство повинно застосовувати, щоб повідомляти користувачам фінансової звітності корисну інформацію про природу, суму, час та невизначеність доходів і грошових потоків, що виникають внаслідок договору з клієнтом.</w:t>
            </w:r>
          </w:p>
        </w:tc>
      </w:tr>
      <w:tr w:rsidR="00E87B76" w14:paraId="6B5CE1E9" w14:textId="2E1FE86C" w:rsidTr="00E87B76">
        <w:tc>
          <w:tcPr>
            <w:tcW w:w="506" w:type="dxa"/>
          </w:tcPr>
          <w:p w14:paraId="2829EC38" w14:textId="77777777" w:rsidR="00E87B76" w:rsidRDefault="00E87B76" w:rsidP="00351443">
            <w:pPr>
              <w:pStyle w:val="a3"/>
              <w:spacing w:before="0" w:beforeAutospacing="0" w:after="0" w:afterAutospacing="0"/>
              <w:jc w:val="both"/>
              <w:rPr>
                <w:color w:val="000000"/>
                <w:lang w:val="uk-UA"/>
              </w:rPr>
            </w:pPr>
          </w:p>
          <w:p w14:paraId="270C26EF" w14:textId="77777777" w:rsidR="009E4976" w:rsidRDefault="009E4976" w:rsidP="00351443">
            <w:pPr>
              <w:pStyle w:val="a3"/>
              <w:spacing w:before="0" w:beforeAutospacing="0" w:after="0" w:afterAutospacing="0"/>
              <w:jc w:val="both"/>
              <w:rPr>
                <w:color w:val="000000"/>
                <w:lang w:val="uk-UA"/>
              </w:rPr>
            </w:pPr>
          </w:p>
          <w:p w14:paraId="36C84EDE" w14:textId="2A5B2079" w:rsidR="009E4976" w:rsidRPr="00351443" w:rsidRDefault="009E4976" w:rsidP="00351443">
            <w:pPr>
              <w:pStyle w:val="a3"/>
              <w:spacing w:before="0" w:beforeAutospacing="0" w:after="0" w:afterAutospacing="0"/>
              <w:jc w:val="both"/>
              <w:rPr>
                <w:color w:val="000000"/>
                <w:lang w:val="uk-UA"/>
              </w:rPr>
            </w:pPr>
            <w:r>
              <w:rPr>
                <w:color w:val="000000"/>
                <w:lang w:val="uk-UA"/>
              </w:rPr>
              <w:t>15</w:t>
            </w:r>
          </w:p>
        </w:tc>
        <w:tc>
          <w:tcPr>
            <w:tcW w:w="3317" w:type="dxa"/>
          </w:tcPr>
          <w:p w14:paraId="3D866B92" w14:textId="6E5A0009" w:rsidR="00E87B76" w:rsidRPr="00351443" w:rsidRDefault="00E87B76" w:rsidP="00376B67">
            <w:pPr>
              <w:pStyle w:val="a3"/>
              <w:spacing w:before="0" w:beforeAutospacing="0" w:afterAutospacing="0"/>
              <w:rPr>
                <w:color w:val="000000"/>
                <w:lang w:val="uk-UA"/>
              </w:rPr>
            </w:pPr>
            <w:r w:rsidRPr="00376B67">
              <w:rPr>
                <w:color w:val="000000"/>
                <w:lang w:val="uk-UA"/>
              </w:rPr>
              <w:t>МСФЗ 16 «Оренда»</w:t>
            </w:r>
          </w:p>
        </w:tc>
        <w:tc>
          <w:tcPr>
            <w:tcW w:w="5811" w:type="dxa"/>
          </w:tcPr>
          <w:p w14:paraId="68D9A078" w14:textId="7F0009C2" w:rsidR="00E87B76" w:rsidRPr="00351443" w:rsidRDefault="00E87B76" w:rsidP="00351443">
            <w:pPr>
              <w:pStyle w:val="a3"/>
              <w:spacing w:before="0" w:beforeAutospacing="0" w:after="0" w:afterAutospacing="0"/>
              <w:jc w:val="both"/>
              <w:rPr>
                <w:color w:val="000000"/>
                <w:lang w:val="uk-UA"/>
              </w:rPr>
            </w:pPr>
            <w:r w:rsidRPr="00D05C68">
              <w:rPr>
                <w:color w:val="000000"/>
              </w:rPr>
              <w:t xml:space="preserve">Цей стандарт встановлює принципи визнання, оцінки, подання оренди та розкриття інформації про неї. Мета полягає у тому, щоб забезпечити надання орендарями та орендодавцями доречної інформації у такий спосіб, щоб ці операції були подані достовірно. </w:t>
            </w:r>
          </w:p>
        </w:tc>
      </w:tr>
      <w:tr w:rsidR="00E87B76" w14:paraId="73383539" w14:textId="21D9B0FB" w:rsidTr="00E87B76">
        <w:tc>
          <w:tcPr>
            <w:tcW w:w="506" w:type="dxa"/>
          </w:tcPr>
          <w:p w14:paraId="75148736" w14:textId="77777777" w:rsidR="00E87B76" w:rsidRDefault="00E87B76" w:rsidP="00351443">
            <w:pPr>
              <w:pStyle w:val="a3"/>
              <w:spacing w:before="0" w:beforeAutospacing="0" w:after="0" w:afterAutospacing="0"/>
              <w:jc w:val="both"/>
              <w:rPr>
                <w:color w:val="000000"/>
                <w:lang w:val="uk-UA"/>
              </w:rPr>
            </w:pPr>
          </w:p>
          <w:p w14:paraId="60CF269F" w14:textId="77777777" w:rsidR="009E4976" w:rsidRDefault="009E4976" w:rsidP="00351443">
            <w:pPr>
              <w:pStyle w:val="a3"/>
              <w:spacing w:before="0" w:beforeAutospacing="0" w:after="0" w:afterAutospacing="0"/>
              <w:jc w:val="both"/>
              <w:rPr>
                <w:color w:val="000000"/>
                <w:lang w:val="uk-UA"/>
              </w:rPr>
            </w:pPr>
          </w:p>
          <w:p w14:paraId="36AC1F8A" w14:textId="77777777" w:rsidR="009E4976" w:rsidRDefault="009E4976" w:rsidP="00351443">
            <w:pPr>
              <w:pStyle w:val="a3"/>
              <w:spacing w:before="0" w:beforeAutospacing="0" w:after="0" w:afterAutospacing="0"/>
              <w:jc w:val="both"/>
              <w:rPr>
                <w:color w:val="000000"/>
                <w:lang w:val="uk-UA"/>
              </w:rPr>
            </w:pPr>
          </w:p>
          <w:p w14:paraId="0E7206AA" w14:textId="77777777" w:rsidR="009E4976" w:rsidRDefault="009E4976" w:rsidP="00351443">
            <w:pPr>
              <w:pStyle w:val="a3"/>
              <w:spacing w:before="0" w:beforeAutospacing="0" w:after="0" w:afterAutospacing="0"/>
              <w:jc w:val="both"/>
              <w:rPr>
                <w:color w:val="000000"/>
                <w:lang w:val="uk-UA"/>
              </w:rPr>
            </w:pPr>
          </w:p>
          <w:p w14:paraId="20B11454" w14:textId="77777777" w:rsidR="009E4976" w:rsidRDefault="009E4976" w:rsidP="00351443">
            <w:pPr>
              <w:pStyle w:val="a3"/>
              <w:spacing w:before="0" w:beforeAutospacing="0" w:after="0" w:afterAutospacing="0"/>
              <w:jc w:val="both"/>
              <w:rPr>
                <w:color w:val="000000"/>
                <w:lang w:val="uk-UA"/>
              </w:rPr>
            </w:pPr>
          </w:p>
          <w:p w14:paraId="4C703FA8" w14:textId="07D6F182" w:rsidR="009E4976" w:rsidRPr="00351443" w:rsidRDefault="009E4976" w:rsidP="00351443">
            <w:pPr>
              <w:pStyle w:val="a3"/>
              <w:spacing w:before="0" w:beforeAutospacing="0" w:after="0" w:afterAutospacing="0"/>
              <w:jc w:val="both"/>
              <w:rPr>
                <w:color w:val="000000"/>
                <w:lang w:val="uk-UA"/>
              </w:rPr>
            </w:pPr>
            <w:r>
              <w:rPr>
                <w:color w:val="000000"/>
                <w:lang w:val="uk-UA"/>
              </w:rPr>
              <w:t>16</w:t>
            </w:r>
          </w:p>
        </w:tc>
        <w:tc>
          <w:tcPr>
            <w:tcW w:w="3317" w:type="dxa"/>
          </w:tcPr>
          <w:p w14:paraId="0946E228" w14:textId="550577D7" w:rsidR="00E87B76" w:rsidRPr="00351443" w:rsidRDefault="00E87B76" w:rsidP="00351443">
            <w:pPr>
              <w:pStyle w:val="a3"/>
              <w:spacing w:before="0" w:beforeAutospacing="0" w:after="0" w:afterAutospacing="0"/>
              <w:jc w:val="both"/>
              <w:rPr>
                <w:color w:val="000000"/>
                <w:lang w:val="uk-UA"/>
              </w:rPr>
            </w:pPr>
            <w:r w:rsidRPr="00473C2E">
              <w:rPr>
                <w:color w:val="000000"/>
                <w:lang w:val="uk-UA"/>
              </w:rPr>
              <w:t>МСФЗ 17 «Страхові контракти»</w:t>
            </w:r>
          </w:p>
        </w:tc>
        <w:tc>
          <w:tcPr>
            <w:tcW w:w="5811" w:type="dxa"/>
          </w:tcPr>
          <w:p w14:paraId="7F5ECF00" w14:textId="1D3BCE46" w:rsidR="00E87B76" w:rsidRPr="00351443" w:rsidRDefault="00E87B76" w:rsidP="00351443">
            <w:pPr>
              <w:pStyle w:val="a3"/>
              <w:spacing w:before="0" w:beforeAutospacing="0" w:after="0" w:afterAutospacing="0"/>
              <w:jc w:val="both"/>
              <w:rPr>
                <w:color w:val="000000"/>
                <w:lang w:val="uk-UA"/>
              </w:rPr>
            </w:pPr>
            <w:r w:rsidRPr="00D05C68">
              <w:rPr>
                <w:color w:val="000000"/>
              </w:rPr>
              <w:t>МСФЗ 17 «Страхові контракти» установлює принципи визнання та оцінки, подання та розкриття страхових контрактів у сфері застосування Стандарту. Мета МСФЗ 17 полягає в забезпеченні надання суб'єктом господарювання доречної інформації, що достовірно представляє такі контракти. Ця інформація надає користувачам фінансової звітності підстави для оцінки впливу страхових контрактів на фінансовий стан суб'єкта господарювання, його фінансові результати діяльності і грошові потоки</w:t>
            </w:r>
          </w:p>
        </w:tc>
      </w:tr>
    </w:tbl>
    <w:p w14:paraId="4EAB0F01" w14:textId="70A0A144" w:rsidR="000A316C" w:rsidRDefault="00D05C68" w:rsidP="000A316C">
      <w:pPr>
        <w:pStyle w:val="a3"/>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lang w:val="uk-UA"/>
        </w:rPr>
        <w:t>*Сформовано автором на основі джерела [6]</w:t>
      </w:r>
    </w:p>
    <w:p w14:paraId="5D57AA4F" w14:textId="65679C91" w:rsidR="00E87B76" w:rsidRDefault="006562FF" w:rsidP="00CC7224">
      <w:pPr>
        <w:pStyle w:val="a3"/>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lang w:val="uk-UA"/>
        </w:rPr>
        <w:t>Впровадження МСФЗ  під час складання звітності в Україні  дозволить державі інтегруватись в міжнародну уніфіковану систему</w:t>
      </w:r>
      <w:r w:rsidR="002578F9">
        <w:rPr>
          <w:color w:val="000000"/>
          <w:sz w:val="28"/>
          <w:szCs w:val="28"/>
          <w:lang w:val="uk-UA"/>
        </w:rPr>
        <w:t xml:space="preserve">. Стандарти дають змогу  об’єднати модель ведення бухгалтерського обліку та складання фінансової звітності бізнесу багатьох розвинених країн. Метою  такої інтеграції є прозорість ведення бізнесу для </w:t>
      </w:r>
      <w:r w:rsidR="002578F9" w:rsidRPr="007C3449">
        <w:rPr>
          <w:color w:val="000000"/>
          <w:sz w:val="28"/>
          <w:szCs w:val="28"/>
          <w:lang w:val="uk-UA"/>
        </w:rPr>
        <w:t>забезпеч</w:t>
      </w:r>
      <w:r w:rsidR="002578F9">
        <w:rPr>
          <w:color w:val="000000"/>
          <w:sz w:val="28"/>
          <w:szCs w:val="28"/>
          <w:lang w:val="uk-UA"/>
        </w:rPr>
        <w:t>ення</w:t>
      </w:r>
      <w:r w:rsidR="002578F9" w:rsidRPr="007C3449">
        <w:rPr>
          <w:color w:val="000000"/>
          <w:sz w:val="28"/>
          <w:szCs w:val="28"/>
          <w:lang w:val="uk-UA"/>
        </w:rPr>
        <w:t xml:space="preserve"> стабільн</w:t>
      </w:r>
      <w:r w:rsidR="002578F9">
        <w:rPr>
          <w:color w:val="000000"/>
          <w:sz w:val="28"/>
          <w:szCs w:val="28"/>
          <w:lang w:val="uk-UA"/>
        </w:rPr>
        <w:t>ості</w:t>
      </w:r>
      <w:r w:rsidR="002578F9" w:rsidRPr="007C3449">
        <w:rPr>
          <w:color w:val="000000"/>
          <w:sz w:val="28"/>
          <w:szCs w:val="28"/>
          <w:lang w:val="uk-UA"/>
        </w:rPr>
        <w:t xml:space="preserve"> фінансових ринків і розвиток світової економіки. Звітність, підготовлена відповідно до вимог МСФЗ, </w:t>
      </w:r>
      <w:r w:rsidR="002578F9">
        <w:rPr>
          <w:color w:val="000000"/>
          <w:sz w:val="28"/>
          <w:szCs w:val="28"/>
          <w:lang w:val="uk-UA"/>
        </w:rPr>
        <w:t>є «показником</w:t>
      </w:r>
      <w:r w:rsidR="002578F9" w:rsidRPr="007C3449">
        <w:rPr>
          <w:color w:val="000000"/>
          <w:sz w:val="28"/>
          <w:szCs w:val="28"/>
          <w:lang w:val="uk-UA"/>
        </w:rPr>
        <w:t xml:space="preserve"> якості» й підтвердженням того, що подана інформація є достовірна.</w:t>
      </w:r>
    </w:p>
    <w:p w14:paraId="52EE5D96" w14:textId="5D5B12E1" w:rsidR="00CC7224" w:rsidRPr="00CC7224" w:rsidRDefault="00CC7224" w:rsidP="004E16E1">
      <w:pPr>
        <w:pStyle w:val="a3"/>
        <w:shd w:val="clear" w:color="auto" w:fill="FFFFFF"/>
        <w:spacing w:before="0" w:beforeAutospacing="0" w:after="0" w:afterAutospacing="0" w:line="360" w:lineRule="auto"/>
        <w:ind w:firstLine="567"/>
        <w:jc w:val="both"/>
        <w:rPr>
          <w:color w:val="000000"/>
          <w:sz w:val="28"/>
          <w:szCs w:val="28"/>
          <w:lang w:val="uk-UA"/>
        </w:rPr>
      </w:pPr>
      <w:r w:rsidRPr="00CC7224">
        <w:rPr>
          <w:color w:val="000000"/>
          <w:sz w:val="28"/>
          <w:szCs w:val="28"/>
          <w:lang w:val="uk-UA"/>
        </w:rPr>
        <w:lastRenderedPageBreak/>
        <w:t xml:space="preserve">Впровадження мінародних стандартів фінансової звітності сприяє підвищенню якості інформації, яка надається зацікавленим сторонам. Це дозволяє користувачам порівнювати фінансову звітність однієї компанії з іншими. </w:t>
      </w:r>
      <w:r w:rsidR="004E16E1">
        <w:rPr>
          <w:color w:val="000000"/>
          <w:sz w:val="28"/>
          <w:szCs w:val="28"/>
          <w:lang w:val="uk-UA"/>
        </w:rPr>
        <w:t>Це дає можливість</w:t>
      </w:r>
      <w:r w:rsidRPr="00CC7224">
        <w:rPr>
          <w:color w:val="000000"/>
          <w:sz w:val="28"/>
          <w:szCs w:val="28"/>
          <w:lang w:val="uk-UA"/>
        </w:rPr>
        <w:t xml:space="preserve"> користувачам зрозуміти дані фінансової звітності швидше, а також привести більше прикладів порівнянь для визначення трендів в діяльності компанії.</w:t>
      </w:r>
      <w:r w:rsidR="004E16E1">
        <w:rPr>
          <w:color w:val="000000"/>
          <w:sz w:val="28"/>
          <w:szCs w:val="28"/>
          <w:lang w:val="uk-UA"/>
        </w:rPr>
        <w:t xml:space="preserve"> </w:t>
      </w:r>
      <w:r w:rsidRPr="00CC7224">
        <w:rPr>
          <w:color w:val="000000"/>
          <w:sz w:val="28"/>
          <w:szCs w:val="28"/>
          <w:lang w:val="uk-UA"/>
        </w:rPr>
        <w:t>Це</w:t>
      </w:r>
      <w:r w:rsidR="004E16E1">
        <w:rPr>
          <w:color w:val="000000"/>
          <w:sz w:val="28"/>
          <w:szCs w:val="28"/>
          <w:lang w:val="uk-UA"/>
        </w:rPr>
        <w:t>,</w:t>
      </w:r>
      <w:r w:rsidRPr="00CC7224">
        <w:rPr>
          <w:color w:val="000000"/>
          <w:sz w:val="28"/>
          <w:szCs w:val="28"/>
          <w:lang w:val="uk-UA"/>
        </w:rPr>
        <w:t xml:space="preserve"> також</w:t>
      </w:r>
      <w:r w:rsidR="004E16E1">
        <w:rPr>
          <w:color w:val="000000"/>
          <w:sz w:val="28"/>
          <w:szCs w:val="28"/>
          <w:lang w:val="uk-UA"/>
        </w:rPr>
        <w:t>,</w:t>
      </w:r>
      <w:r w:rsidRPr="00CC7224">
        <w:rPr>
          <w:color w:val="000000"/>
          <w:sz w:val="28"/>
          <w:szCs w:val="28"/>
          <w:lang w:val="uk-UA"/>
        </w:rPr>
        <w:t xml:space="preserve"> дозволяє поліпшити інвестиційне рішення і вибір користувачів.</w:t>
      </w:r>
    </w:p>
    <w:p w14:paraId="2F3A6E49" w14:textId="77777777" w:rsidR="004F3102" w:rsidRPr="00E1468C" w:rsidRDefault="004F3102" w:rsidP="00CC7224">
      <w:pPr>
        <w:pStyle w:val="a3"/>
        <w:shd w:val="clear" w:color="auto" w:fill="FFFFFF"/>
        <w:spacing w:before="0" w:beforeAutospacing="0" w:after="0" w:afterAutospacing="0" w:line="360" w:lineRule="auto"/>
        <w:ind w:firstLine="567"/>
        <w:jc w:val="center"/>
        <w:rPr>
          <w:color w:val="000000"/>
          <w:lang w:val="uk-UA"/>
        </w:rPr>
      </w:pPr>
      <w:r w:rsidRPr="00E1468C">
        <w:rPr>
          <w:color w:val="000000"/>
          <w:lang w:val="uk-UA"/>
        </w:rPr>
        <w:t>Список використаних джерел:</w:t>
      </w:r>
    </w:p>
    <w:p w14:paraId="794C4B49" w14:textId="4DC05F69" w:rsidR="005C0D39" w:rsidRPr="00E1468C" w:rsidRDefault="004F3102" w:rsidP="00F929B5">
      <w:pPr>
        <w:pStyle w:val="a3"/>
        <w:spacing w:before="0" w:beforeAutospacing="0" w:after="0" w:afterAutospacing="0" w:line="360" w:lineRule="auto"/>
        <w:ind w:firstLine="567"/>
        <w:jc w:val="both"/>
        <w:rPr>
          <w:color w:val="000000"/>
          <w:lang w:val="uk-UA"/>
        </w:rPr>
      </w:pPr>
      <w:r w:rsidRPr="00E1468C">
        <w:rPr>
          <w:color w:val="000000"/>
        </w:rPr>
        <w:t>1.</w:t>
      </w:r>
      <w:r w:rsidR="005C0D39" w:rsidRPr="00E1468C">
        <w:rPr>
          <w:color w:val="000000"/>
          <w:lang w:val="uk-UA"/>
        </w:rPr>
        <w:t xml:space="preserve"> </w:t>
      </w:r>
      <w:r w:rsidR="005C0D39" w:rsidRPr="00E1468C">
        <w:rPr>
          <w:color w:val="000000"/>
        </w:rPr>
        <w:t>П</w:t>
      </w:r>
      <w:r w:rsidR="005C0D39" w:rsidRPr="00E1468C">
        <w:rPr>
          <w:color w:val="000000"/>
          <w:lang w:val="uk-UA"/>
        </w:rPr>
        <w:t xml:space="preserve">рограма </w:t>
      </w:r>
      <w:r w:rsidR="005C0D39" w:rsidRPr="00E1468C">
        <w:rPr>
          <w:color w:val="000000"/>
        </w:rPr>
        <w:t>реформування системи бухгалтерського обліку із застосуванням міжнародних стандартів</w:t>
      </w:r>
      <w:r w:rsidR="005C0D39" w:rsidRPr="00E1468C">
        <w:rPr>
          <w:color w:val="000000"/>
          <w:lang w:val="uk-UA"/>
        </w:rPr>
        <w:t xml:space="preserve">, затверджена </w:t>
      </w:r>
      <w:r w:rsidR="005C0D39" w:rsidRPr="00E1468C">
        <w:rPr>
          <w:color w:val="000000"/>
        </w:rPr>
        <w:t>постановою Кабінету Міністрів України</w:t>
      </w:r>
      <w:r w:rsidR="005C0D39" w:rsidRPr="00E1468C">
        <w:rPr>
          <w:color w:val="000000"/>
          <w:lang w:val="uk-UA"/>
        </w:rPr>
        <w:t xml:space="preserve"> </w:t>
      </w:r>
      <w:r w:rsidR="005C0D39" w:rsidRPr="00E1468C">
        <w:rPr>
          <w:color w:val="000000"/>
        </w:rPr>
        <w:t>від 28 жовтня 1998 р. N 1706</w:t>
      </w:r>
      <w:r w:rsidR="005C0D39" w:rsidRPr="00E1468C">
        <w:rPr>
          <w:color w:val="000000"/>
          <w:lang w:val="uk-UA"/>
        </w:rPr>
        <w:t xml:space="preserve">. – [Електронний ресурс]. – Режим доступу: </w:t>
      </w:r>
      <w:hyperlink r:id="rId7" w:history="1">
        <w:r w:rsidR="005C0D39" w:rsidRPr="00E1468C">
          <w:rPr>
            <w:rStyle w:val="a4"/>
            <w:lang w:val="uk-UA"/>
          </w:rPr>
          <w:t>https://ips.ligazakon.net/document/KP981706?an=11</w:t>
        </w:r>
      </w:hyperlink>
      <w:r w:rsidR="005C0D39" w:rsidRPr="00E1468C">
        <w:rPr>
          <w:color w:val="000000"/>
          <w:lang w:val="uk-UA"/>
        </w:rPr>
        <w:t>.</w:t>
      </w:r>
    </w:p>
    <w:p w14:paraId="6FA5B651" w14:textId="4904C786" w:rsidR="004F3102" w:rsidRPr="00E1468C" w:rsidRDefault="005C0D39" w:rsidP="00F929B5">
      <w:pPr>
        <w:pStyle w:val="a3"/>
        <w:spacing w:before="0" w:beforeAutospacing="0" w:after="0" w:afterAutospacing="0" w:line="360" w:lineRule="auto"/>
        <w:ind w:firstLine="567"/>
        <w:jc w:val="both"/>
        <w:rPr>
          <w:lang w:val="uk-UA"/>
        </w:rPr>
      </w:pPr>
      <w:r w:rsidRPr="00E1468C">
        <w:rPr>
          <w:color w:val="000000"/>
          <w:lang w:val="uk-UA"/>
        </w:rPr>
        <w:t xml:space="preserve">2. Закон України від 16.07.1999 № 996-XIV, «Про бухгалтерський облік та фінансову звітність в Україні», зі змінами та доповненями </w:t>
      </w:r>
      <w:hyperlink r:id="rId8" w:tgtFrame="_blank" w:history="1">
        <w:r w:rsidRPr="00E1468C">
          <w:rPr>
            <w:rStyle w:val="a4"/>
            <w:color w:val="auto"/>
            <w:u w:val="none"/>
            <w:lang w:val="uk-UA"/>
          </w:rPr>
          <w:t xml:space="preserve">від 19 липня 2022 року </w:t>
        </w:r>
        <w:r w:rsidRPr="00E1468C">
          <w:rPr>
            <w:rStyle w:val="a4"/>
            <w:color w:val="auto"/>
            <w:u w:val="none"/>
          </w:rPr>
          <w:t>N</w:t>
        </w:r>
        <w:r w:rsidRPr="00E1468C">
          <w:rPr>
            <w:rStyle w:val="a4"/>
            <w:color w:val="auto"/>
            <w:u w:val="none"/>
            <w:lang w:val="uk-UA"/>
          </w:rPr>
          <w:t xml:space="preserve"> 2435-</w:t>
        </w:r>
        <w:r w:rsidRPr="00E1468C">
          <w:rPr>
            <w:rStyle w:val="a4"/>
            <w:color w:val="auto"/>
            <w:u w:val="none"/>
          </w:rPr>
          <w:t>IX</w:t>
        </w:r>
      </w:hyperlink>
      <w:r w:rsidRPr="00E1468C">
        <w:rPr>
          <w:lang w:val="uk-UA"/>
        </w:rPr>
        <w:t>.</w:t>
      </w:r>
      <w:r w:rsidR="00E1468C">
        <w:rPr>
          <w:lang w:val="uk-UA"/>
        </w:rPr>
        <w:t xml:space="preserve"> </w:t>
      </w:r>
      <w:r w:rsidRPr="00E1468C">
        <w:rPr>
          <w:lang w:val="uk-UA"/>
        </w:rPr>
        <w:t>[Електронний</w:t>
      </w:r>
      <w:r w:rsidR="00E1468C">
        <w:rPr>
          <w:lang w:val="uk-UA"/>
        </w:rPr>
        <w:t xml:space="preserve"> </w:t>
      </w:r>
      <w:r w:rsidRPr="00E1468C">
        <w:rPr>
          <w:lang w:val="uk-UA"/>
        </w:rPr>
        <w:t>ресурс]. – Режим доступу:</w:t>
      </w:r>
      <w:hyperlink r:id="rId9" w:history="1">
        <w:r w:rsidR="00E1468C" w:rsidRPr="00B57974">
          <w:rPr>
            <w:rStyle w:val="a4"/>
            <w:lang w:val="uk-UA"/>
          </w:rPr>
          <w:t>https://ips.ligazakon.net/document/T990996?an=153779</w:t>
        </w:r>
      </w:hyperlink>
      <w:r w:rsidRPr="00E1468C">
        <w:rPr>
          <w:lang w:val="uk-UA"/>
        </w:rPr>
        <w:t>.</w:t>
      </w:r>
    </w:p>
    <w:p w14:paraId="37836307" w14:textId="1CCB2BCB" w:rsidR="00134AE2" w:rsidRPr="00E1468C" w:rsidRDefault="005C0D39" w:rsidP="00F929B5">
      <w:pPr>
        <w:pStyle w:val="a3"/>
        <w:spacing w:before="0" w:beforeAutospacing="0" w:after="0" w:afterAutospacing="0" w:line="360" w:lineRule="auto"/>
        <w:ind w:firstLine="567"/>
        <w:jc w:val="both"/>
        <w:rPr>
          <w:lang w:val="uk-UA"/>
        </w:rPr>
      </w:pPr>
      <w:r w:rsidRPr="00E1468C">
        <w:rPr>
          <w:lang w:val="uk-UA"/>
        </w:rPr>
        <w:t xml:space="preserve">3. </w:t>
      </w:r>
      <w:r w:rsidR="00134AE2" w:rsidRPr="00E1468C">
        <w:t> </w:t>
      </w:r>
      <w:r w:rsidR="00134AE2" w:rsidRPr="00E1468C">
        <w:rPr>
          <w:lang w:val="uk-UA"/>
        </w:rPr>
        <w:t>Стратегія застосування міжнародних стандартів фінансової звітності в Україні, схваленої розпорядженням КМУ від 24.10.2007 р. № 911.</w:t>
      </w:r>
      <w:r w:rsidR="00134AE2" w:rsidRPr="00E1468C">
        <w:rPr>
          <w:color w:val="000000"/>
          <w:lang w:val="uk-UA"/>
        </w:rPr>
        <w:t xml:space="preserve"> </w:t>
      </w:r>
      <w:r w:rsidR="00134AE2" w:rsidRPr="00E1468C">
        <w:rPr>
          <w:lang w:val="uk-UA"/>
        </w:rPr>
        <w:t xml:space="preserve">– [Електронний ресурс]. – Режим доступу: </w:t>
      </w:r>
      <w:hyperlink r:id="rId10" w:history="1">
        <w:r w:rsidR="00134AE2" w:rsidRPr="00E1468C">
          <w:rPr>
            <w:rStyle w:val="a4"/>
            <w:lang w:val="uk-UA"/>
          </w:rPr>
          <w:t>https://ips.ligazakon.net/document/KR070911?an=142&amp;ed=2013_11_07</w:t>
        </w:r>
      </w:hyperlink>
      <w:r w:rsidR="00134AE2" w:rsidRPr="00E1468C">
        <w:rPr>
          <w:lang w:val="uk-UA"/>
        </w:rPr>
        <w:t>.</w:t>
      </w:r>
    </w:p>
    <w:p w14:paraId="09DCF588" w14:textId="435A2260" w:rsidR="00134AE2" w:rsidRPr="00E1468C" w:rsidRDefault="00134AE2" w:rsidP="00F929B5">
      <w:pPr>
        <w:pStyle w:val="a3"/>
        <w:spacing w:before="0" w:beforeAutospacing="0" w:after="0" w:afterAutospacing="0" w:line="360" w:lineRule="auto"/>
        <w:ind w:firstLine="567"/>
        <w:jc w:val="both"/>
        <w:rPr>
          <w:lang w:val="uk-UA"/>
        </w:rPr>
      </w:pPr>
      <w:r w:rsidRPr="00E1468C">
        <w:rPr>
          <w:lang w:val="uk-UA"/>
        </w:rPr>
        <w:t xml:space="preserve">4. </w:t>
      </w:r>
      <w:hyperlink r:id="rId11" w:history="1">
        <w:r w:rsidRPr="00E1468C">
          <w:rPr>
            <w:rStyle w:val="a4"/>
            <w:color w:val="auto"/>
            <w:u w:val="none"/>
            <w:lang w:val="uk-UA"/>
          </w:rPr>
          <w:t>Лист Мінфіну України від 29.12.17 р. № 35210-06-5/37175 «Про застосування міжнародних стандартів фінансової звітності</w:t>
        </w:r>
      </w:hyperlink>
      <w:r w:rsidRPr="00E1468C">
        <w:rPr>
          <w:lang w:val="uk-UA"/>
        </w:rPr>
        <w:t xml:space="preserve">». [Електронний ресурс]. – Режим доступу: </w:t>
      </w:r>
      <w:hyperlink r:id="rId12" w:history="1">
        <w:r w:rsidRPr="00E1468C">
          <w:rPr>
            <w:rStyle w:val="a4"/>
            <w:lang w:val="uk-UA"/>
          </w:rPr>
          <w:t>https://mof.gov.ua/storage/files/Lyst-MSFZ.pdf</w:t>
        </w:r>
      </w:hyperlink>
      <w:r w:rsidRPr="00E1468C">
        <w:rPr>
          <w:lang w:val="uk-UA"/>
        </w:rPr>
        <w:t>.</w:t>
      </w:r>
    </w:p>
    <w:p w14:paraId="2E57FEAC" w14:textId="56EA611C" w:rsidR="00134AE2" w:rsidRPr="00E1468C" w:rsidRDefault="00134AE2" w:rsidP="00F929B5">
      <w:pPr>
        <w:pStyle w:val="a3"/>
        <w:spacing w:before="0" w:beforeAutospacing="0" w:after="0" w:afterAutospacing="0" w:line="360" w:lineRule="auto"/>
        <w:ind w:firstLine="567"/>
        <w:jc w:val="both"/>
        <w:rPr>
          <w:lang w:val="uk-UA"/>
        </w:rPr>
      </w:pPr>
      <w:r w:rsidRPr="00E1468C">
        <w:rPr>
          <w:lang w:val="uk-UA"/>
        </w:rPr>
        <w:t xml:space="preserve">5. </w:t>
      </w:r>
      <w:r w:rsidR="00F929B5" w:rsidRPr="00E1468C">
        <w:rPr>
          <w:lang w:val="uk-UA"/>
        </w:rPr>
        <w:t xml:space="preserve">Концептуальні основи фінансової звітності, </w:t>
      </w:r>
      <w:r w:rsidR="00F929B5" w:rsidRPr="00E1468C">
        <w:t>видана РМСБО у вересні 2010 р.</w:t>
      </w:r>
      <w:r w:rsidR="00F929B5" w:rsidRPr="00E1468C">
        <w:rPr>
          <w:lang w:val="uk-UA"/>
        </w:rPr>
        <w:t>, п</w:t>
      </w:r>
      <w:r w:rsidR="00F929B5" w:rsidRPr="00E1468C">
        <w:t>ереглянута в березні 2018 року</w:t>
      </w:r>
      <w:r w:rsidR="00F929B5" w:rsidRPr="00E1468C">
        <w:rPr>
          <w:lang w:val="uk-UA"/>
        </w:rPr>
        <w:t>. [Електронний ресурс]. – Режим доступу:https://mof.gov.ua/storage/files/%D0%9A%D0%BE%D0%BD%D1%86%D0%B5%D0%BF%D1%82%D1%83%D0%B0%D0%BB%D1%8C%D0%BD%D0%B0%20%D0%BE%D1%81%D0%BD%D0%BE%D0%B2%D0%B0_ukr(2).pdf.</w:t>
      </w:r>
    </w:p>
    <w:p w14:paraId="46406362" w14:textId="7C62BD61" w:rsidR="002F0383" w:rsidRPr="00E1468C" w:rsidRDefault="00D05C68" w:rsidP="004A2109">
      <w:pPr>
        <w:pStyle w:val="a3"/>
        <w:spacing w:before="0" w:beforeAutospacing="0" w:after="0" w:afterAutospacing="0" w:line="360" w:lineRule="auto"/>
        <w:ind w:firstLine="567"/>
        <w:jc w:val="both"/>
      </w:pPr>
      <w:r w:rsidRPr="00E1468C">
        <w:rPr>
          <w:color w:val="000000"/>
          <w:lang w:val="uk-UA"/>
        </w:rPr>
        <w:t xml:space="preserve">6. Сайт Міністерства фінансів України: </w:t>
      </w:r>
      <w:r w:rsidRPr="00E1468C">
        <w:rPr>
          <w:color w:val="000000"/>
        </w:rPr>
        <w:t>Переклад міжнародних стандартів фінансової звітності 2022 року</w:t>
      </w:r>
      <w:r w:rsidRPr="00E1468C">
        <w:rPr>
          <w:color w:val="000000"/>
          <w:lang w:val="uk-UA"/>
        </w:rPr>
        <w:t xml:space="preserve"> – [Електронний ресурс]. – Режим доступу: </w:t>
      </w:r>
      <w:hyperlink r:id="rId13" w:history="1">
        <w:r w:rsidRPr="00E1468C">
          <w:rPr>
            <w:rStyle w:val="a4"/>
            <w:lang w:val="uk-UA"/>
          </w:rPr>
          <w:t>https://mof.gov.ua/uk/translation_of_international_financial_reporting_standards_2022_updated-576</w:t>
        </w:r>
      </w:hyperlink>
    </w:p>
    <w:sectPr w:rsidR="002F0383" w:rsidRPr="00E1468C" w:rsidSect="0035144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14C8" w14:textId="77777777" w:rsidR="00195734" w:rsidRDefault="00195734" w:rsidP="00E1468C">
      <w:pPr>
        <w:spacing w:after="0" w:line="240" w:lineRule="auto"/>
      </w:pPr>
      <w:r>
        <w:separator/>
      </w:r>
    </w:p>
  </w:endnote>
  <w:endnote w:type="continuationSeparator" w:id="0">
    <w:p w14:paraId="24D946AF" w14:textId="77777777" w:rsidR="00195734" w:rsidRDefault="00195734" w:rsidP="00E1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031F" w14:textId="77777777" w:rsidR="00195734" w:rsidRDefault="00195734" w:rsidP="00E1468C">
      <w:pPr>
        <w:spacing w:after="0" w:line="240" w:lineRule="auto"/>
      </w:pPr>
      <w:r>
        <w:separator/>
      </w:r>
    </w:p>
  </w:footnote>
  <w:footnote w:type="continuationSeparator" w:id="0">
    <w:p w14:paraId="67913721" w14:textId="77777777" w:rsidR="00195734" w:rsidRDefault="00195734" w:rsidP="00E1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1335"/>
      <w:docPartObj>
        <w:docPartGallery w:val="Page Numbers (Top of Page)"/>
        <w:docPartUnique/>
      </w:docPartObj>
    </w:sdtPr>
    <w:sdtContent>
      <w:p w14:paraId="68CB46B5" w14:textId="7DB2EF32" w:rsidR="00E1468C" w:rsidRDefault="00E1468C">
        <w:pPr>
          <w:pStyle w:val="a8"/>
          <w:jc w:val="right"/>
        </w:pPr>
        <w:r>
          <w:fldChar w:fldCharType="begin"/>
        </w:r>
        <w:r>
          <w:instrText>PAGE   \* MERGEFORMAT</w:instrText>
        </w:r>
        <w:r>
          <w:fldChar w:fldCharType="separate"/>
        </w:r>
        <w:r>
          <w:rPr>
            <w:lang w:val="ru-RU"/>
          </w:rPr>
          <w:t>2</w:t>
        </w:r>
        <w:r>
          <w:fldChar w:fldCharType="end"/>
        </w:r>
      </w:p>
    </w:sdtContent>
  </w:sdt>
  <w:p w14:paraId="71BC1649" w14:textId="77777777" w:rsidR="00E1468C" w:rsidRDefault="00E1468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02"/>
    <w:rsid w:val="000079CC"/>
    <w:rsid w:val="000739CA"/>
    <w:rsid w:val="000A316C"/>
    <w:rsid w:val="000C6363"/>
    <w:rsid w:val="000C77AB"/>
    <w:rsid w:val="00134AE2"/>
    <w:rsid w:val="00195734"/>
    <w:rsid w:val="002578F9"/>
    <w:rsid w:val="002F0383"/>
    <w:rsid w:val="0030188D"/>
    <w:rsid w:val="00351443"/>
    <w:rsid w:val="003733FE"/>
    <w:rsid w:val="00376B67"/>
    <w:rsid w:val="00473C2E"/>
    <w:rsid w:val="004A2109"/>
    <w:rsid w:val="004E16E1"/>
    <w:rsid w:val="004F3102"/>
    <w:rsid w:val="005C0D39"/>
    <w:rsid w:val="006562FF"/>
    <w:rsid w:val="006C6A85"/>
    <w:rsid w:val="007C3449"/>
    <w:rsid w:val="0089770B"/>
    <w:rsid w:val="0098306F"/>
    <w:rsid w:val="009B41B9"/>
    <w:rsid w:val="009D46F3"/>
    <w:rsid w:val="009E4976"/>
    <w:rsid w:val="00BF44D5"/>
    <w:rsid w:val="00CC2C13"/>
    <w:rsid w:val="00CC7224"/>
    <w:rsid w:val="00D05C68"/>
    <w:rsid w:val="00E1468C"/>
    <w:rsid w:val="00E87B76"/>
    <w:rsid w:val="00E929CA"/>
    <w:rsid w:val="00ED6780"/>
    <w:rsid w:val="00F929B5"/>
    <w:rsid w:val="00FB69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5BA0"/>
  <w15:chartTrackingRefBased/>
  <w15:docId w15:val="{22EAE66B-CC36-4A28-B9AC-E45D0D8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5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C0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C0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1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0C77AB"/>
    <w:rPr>
      <w:color w:val="0563C1" w:themeColor="hyperlink"/>
      <w:u w:val="single"/>
    </w:rPr>
  </w:style>
  <w:style w:type="character" w:styleId="a5">
    <w:name w:val="Unresolved Mention"/>
    <w:basedOn w:val="a0"/>
    <w:uiPriority w:val="99"/>
    <w:semiHidden/>
    <w:unhideWhenUsed/>
    <w:rsid w:val="000C77AB"/>
    <w:rPr>
      <w:color w:val="605E5C"/>
      <w:shd w:val="clear" w:color="auto" w:fill="E1DFDD"/>
    </w:rPr>
  </w:style>
  <w:style w:type="character" w:styleId="a6">
    <w:name w:val="Placeholder Text"/>
    <w:basedOn w:val="a0"/>
    <w:uiPriority w:val="99"/>
    <w:semiHidden/>
    <w:rsid w:val="000A316C"/>
    <w:rPr>
      <w:color w:val="808080"/>
    </w:rPr>
  </w:style>
  <w:style w:type="table" w:styleId="a7">
    <w:name w:val="Table Grid"/>
    <w:basedOn w:val="a1"/>
    <w:uiPriority w:val="39"/>
    <w:rsid w:val="0035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5C6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C0D3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C0D39"/>
    <w:rPr>
      <w:rFonts w:asciiTheme="majorHAnsi" w:eastAsiaTheme="majorEastAsia" w:hAnsiTheme="majorHAnsi" w:cstheme="majorBidi"/>
      <w:color w:val="1F3763" w:themeColor="accent1" w:themeShade="7F"/>
      <w:sz w:val="24"/>
      <w:szCs w:val="24"/>
    </w:rPr>
  </w:style>
  <w:style w:type="paragraph" w:styleId="a8">
    <w:name w:val="header"/>
    <w:basedOn w:val="a"/>
    <w:link w:val="a9"/>
    <w:uiPriority w:val="99"/>
    <w:unhideWhenUsed/>
    <w:rsid w:val="00E146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468C"/>
  </w:style>
  <w:style w:type="paragraph" w:styleId="aa">
    <w:name w:val="footer"/>
    <w:basedOn w:val="a"/>
    <w:link w:val="ab"/>
    <w:uiPriority w:val="99"/>
    <w:unhideWhenUsed/>
    <w:rsid w:val="00E146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011">
      <w:bodyDiv w:val="1"/>
      <w:marLeft w:val="0"/>
      <w:marRight w:val="0"/>
      <w:marTop w:val="0"/>
      <w:marBottom w:val="0"/>
      <w:divBdr>
        <w:top w:val="none" w:sz="0" w:space="0" w:color="auto"/>
        <w:left w:val="none" w:sz="0" w:space="0" w:color="auto"/>
        <w:bottom w:val="none" w:sz="0" w:space="0" w:color="auto"/>
        <w:right w:val="none" w:sz="0" w:space="0" w:color="auto"/>
      </w:divBdr>
    </w:div>
    <w:div w:id="392781560">
      <w:bodyDiv w:val="1"/>
      <w:marLeft w:val="0"/>
      <w:marRight w:val="0"/>
      <w:marTop w:val="0"/>
      <w:marBottom w:val="0"/>
      <w:divBdr>
        <w:top w:val="none" w:sz="0" w:space="0" w:color="auto"/>
        <w:left w:val="none" w:sz="0" w:space="0" w:color="auto"/>
        <w:bottom w:val="none" w:sz="0" w:space="0" w:color="auto"/>
        <w:right w:val="none" w:sz="0" w:space="0" w:color="auto"/>
      </w:divBdr>
    </w:div>
    <w:div w:id="837962915">
      <w:bodyDiv w:val="1"/>
      <w:marLeft w:val="0"/>
      <w:marRight w:val="0"/>
      <w:marTop w:val="0"/>
      <w:marBottom w:val="0"/>
      <w:divBdr>
        <w:top w:val="none" w:sz="0" w:space="0" w:color="auto"/>
        <w:left w:val="none" w:sz="0" w:space="0" w:color="auto"/>
        <w:bottom w:val="none" w:sz="0" w:space="0" w:color="auto"/>
        <w:right w:val="none" w:sz="0" w:space="0" w:color="auto"/>
      </w:divBdr>
    </w:div>
    <w:div w:id="957099806">
      <w:bodyDiv w:val="1"/>
      <w:marLeft w:val="0"/>
      <w:marRight w:val="0"/>
      <w:marTop w:val="0"/>
      <w:marBottom w:val="0"/>
      <w:divBdr>
        <w:top w:val="none" w:sz="0" w:space="0" w:color="auto"/>
        <w:left w:val="none" w:sz="0" w:space="0" w:color="auto"/>
        <w:bottom w:val="none" w:sz="0" w:space="0" w:color="auto"/>
        <w:right w:val="none" w:sz="0" w:space="0" w:color="auto"/>
      </w:divBdr>
    </w:div>
    <w:div w:id="1286159096">
      <w:bodyDiv w:val="1"/>
      <w:marLeft w:val="0"/>
      <w:marRight w:val="0"/>
      <w:marTop w:val="0"/>
      <w:marBottom w:val="0"/>
      <w:divBdr>
        <w:top w:val="none" w:sz="0" w:space="0" w:color="auto"/>
        <w:left w:val="none" w:sz="0" w:space="0" w:color="auto"/>
        <w:bottom w:val="none" w:sz="0" w:space="0" w:color="auto"/>
        <w:right w:val="none" w:sz="0" w:space="0" w:color="auto"/>
      </w:divBdr>
    </w:div>
    <w:div w:id="1475874081">
      <w:bodyDiv w:val="1"/>
      <w:marLeft w:val="0"/>
      <w:marRight w:val="0"/>
      <w:marTop w:val="0"/>
      <w:marBottom w:val="0"/>
      <w:divBdr>
        <w:top w:val="none" w:sz="0" w:space="0" w:color="auto"/>
        <w:left w:val="none" w:sz="0" w:space="0" w:color="auto"/>
        <w:bottom w:val="none" w:sz="0" w:space="0" w:color="auto"/>
        <w:right w:val="none" w:sz="0" w:space="0" w:color="auto"/>
      </w:divBdr>
    </w:div>
    <w:div w:id="21439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22435?ed=2022_07_19&amp;an=5" TargetMode="External"/><Relationship Id="rId13" Type="http://schemas.openxmlformats.org/officeDocument/2006/relationships/hyperlink" Target="https://mof.gov.ua/uk/translation_of_international_financial_reporting_standards_2022_updated-576" TargetMode="External"/><Relationship Id="rId3" Type="http://schemas.openxmlformats.org/officeDocument/2006/relationships/webSettings" Target="webSettings.xml"/><Relationship Id="rId7" Type="http://schemas.openxmlformats.org/officeDocument/2006/relationships/hyperlink" Target="https://ips.ligazakon.net/document/KP981706?an=11" TargetMode="External"/><Relationship Id="rId12" Type="http://schemas.openxmlformats.org/officeDocument/2006/relationships/hyperlink" Target="https://mof.gov.ua/storage/files/Lyst-MSFZ.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vobu.ua/ukr/documents/item/lyst-minfinu-ukrainy-vid-291217-r-35210-06-5-3717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ps.ligazakon.net/document/KR070911?an=142&amp;ed=2013_11_07" TargetMode="External"/><Relationship Id="rId4" Type="http://schemas.openxmlformats.org/officeDocument/2006/relationships/footnotes" Target="footnotes.xml"/><Relationship Id="rId9" Type="http://schemas.openxmlformats.org/officeDocument/2006/relationships/hyperlink" Target="https://ips.ligazakon.net/document/T990996?an=1537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5</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16</cp:revision>
  <dcterms:created xsi:type="dcterms:W3CDTF">2023-02-26T11:33:00Z</dcterms:created>
  <dcterms:modified xsi:type="dcterms:W3CDTF">2023-03-06T14:41:00Z</dcterms:modified>
</cp:coreProperties>
</file>