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6C5248" w:rsidRDefault="00481896" w14:paraId="713F7B52" wp14:textId="6BD1AB7C">
      <w:pPr>
        <w:spacing w:before="240" w:after="240" w:line="360" w:lineRule="auto"/>
        <w:ind w:firstLine="708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Юрченко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Юрій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Юрійович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старший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викладач</w:t>
      </w:r>
      <w:r>
        <w:br/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Карташов Олексій Ігорович,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здобувач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вищої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освіти</w:t>
      </w:r>
      <w:r>
        <w:br/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Державний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торговельно-економічний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університет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, Київ</w:t>
      </w:r>
      <w:r>
        <w:br/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ORCID: </w:t>
      </w:r>
      <w:hyperlink r:id="R69e10f6704394f21">
        <w:r w:rsidRPr="7540C7E0" w:rsidR="406EE5D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https://orcid.org/0000-0002-8047-7647</w:t>
        </w:r>
      </w:hyperlink>
      <w:r w:rsidRPr="7540C7E0" w:rsidR="406EE5D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(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Юрченко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 xml:space="preserve"> Ю. Ю.)</w:t>
      </w:r>
      <w:r>
        <w:br/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ORCID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7540C7E0" w:rsidR="196038A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447C688">
        <w:rPr>
          <w:rFonts w:ascii="Times New Roman" w:hAnsi="Times New Roman" w:eastAsia="Times New Roman" w:cs="Times New Roman"/>
          <w:sz w:val="28"/>
          <w:szCs w:val="28"/>
        </w:rPr>
        <w:t>https://orcid.org/0009-0001-1926-0887</w:t>
      </w:r>
      <w:r w:rsidRPr="7540C7E0" w:rsidR="196038A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(</w:t>
      </w:r>
      <w:r w:rsidRPr="7540C7E0" w:rsidR="00481896">
        <w:rPr>
          <w:rFonts w:ascii="Times New Roman" w:hAnsi="Times New Roman" w:eastAsia="Times New Roman" w:cs="Times New Roman"/>
          <w:sz w:val="28"/>
          <w:szCs w:val="28"/>
        </w:rPr>
        <w:t>Карташов О. І.)</w:t>
      </w:r>
    </w:p>
    <w:p xmlns:wp14="http://schemas.microsoft.com/office/word/2010/wordml" w:rsidR="006C5248" w:rsidRDefault="006C5248" w14:paraId="672A6659" wp14:textId="77777777">
      <w:pPr>
        <w:spacing w:before="240" w:after="240" w:line="360" w:lineRule="auto"/>
        <w:ind w:firstLine="708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6C5248" w:rsidRDefault="00481896" w14:paraId="6714ACA3" wp14:textId="77777777">
      <w:pPr>
        <w:spacing w:before="240" w:after="240" w:line="360" w:lineRule="auto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ВПРОВАДЖЕННЯ ПРОГРАМНО-ВИЗНАЧЕНИХ МЕРЕЖ (SDN) У КОРПОРАТИВНИХ СИСТЕМАХ: ПЕРЕВАГИ ТА ВИКЛИКИ</w:t>
      </w:r>
    </w:p>
    <w:p xmlns:wp14="http://schemas.microsoft.com/office/word/2010/wordml" w:rsidR="006C5248" w:rsidRDefault="00481896" w14:paraId="69933FDB" wp14:textId="3289B903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У сучасних корпоративних мережах зростає потреба в гнучкості та ефективному управлінні через складність традиційних архітектур. Програмно-визначені мережі (SDN) пропонують інноваційний підхід, розділяючи рівень управління та рівень передачі даних, що дозволяє централізовано контролювати мережеву інфраструктуру через програмне забезпечення</w:t>
      </w:r>
      <w:r w:rsidRPr="7D7267BC" w:rsidR="54A9EA11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5248" w:rsidRDefault="00481896" w14:paraId="0A37501D" wp14:textId="77777777">
      <w:pPr>
        <w:spacing w:before="240" w:after="240" w:line="36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noProof/>
          <w:sz w:val="28"/>
          <w:szCs w:val="28"/>
        </w:rPr>
        <w:drawing>
          <wp:inline xmlns:wp14="http://schemas.microsoft.com/office/word/2010/wordprocessingDrawing" distT="114300" distB="114300" distL="114300" distR="114300" wp14:anchorId="469CA389" wp14:editId="7777777">
            <wp:extent cx="3544725" cy="28229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427" t="2044"/>
                    <a:stretch>
                      <a:fillRect/>
                    </a:stretch>
                  </pic:blipFill>
                  <pic:spPr>
                    <a:xfrm>
                      <a:off x="0" y="0"/>
                      <a:ext cx="3544725" cy="282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6C5248" w:rsidRDefault="00481896" w14:paraId="523F5805" wp14:textId="77777777">
      <w:pPr>
        <w:spacing w:before="240" w:after="240" w:line="36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Рис.1. Структура SDN</w:t>
      </w:r>
    </w:p>
    <w:p xmlns:wp14="http://schemas.microsoft.com/office/word/2010/wordml" w:rsidR="006C5248" w:rsidRDefault="00481896" w14:paraId="06F53475" wp14:textId="77777777">
      <w:pPr>
        <w:pStyle w:val="3"/>
        <w:keepNext w:val="0"/>
        <w:keepLines w:val="0"/>
        <w:spacing w:before="280" w:after="80" w:line="360" w:lineRule="auto"/>
        <w:ind w:left="720" w:hanging="11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bookmarkStart w:name="_ly05eqtnmyb1" w:colFirst="0" w:colLast="0" w:id="0"/>
      <w:bookmarkEnd w:id="0"/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Основні елементи SDN</w:t>
      </w:r>
    </w:p>
    <w:p xmlns:wp14="http://schemas.microsoft.com/office/word/2010/wordml" w:rsidR="006C5248" w:rsidRDefault="00481896" w14:paraId="0CF0F4D7" wp14:textId="77777777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SDN складається з:</w:t>
      </w:r>
    </w:p>
    <w:p xmlns:wp14="http://schemas.microsoft.com/office/word/2010/wordml" w:rsidR="006C5248" w:rsidRDefault="00481896" w14:paraId="4D0E19B3" wp14:textId="77777777">
      <w:pPr>
        <w:numPr>
          <w:ilvl w:val="0"/>
          <w:numId w:val="4"/>
        </w:numPr>
        <w:spacing w:before="240"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Контролер SDN — центральний елемент, який управляє мережевими пристроями.</w:t>
      </w:r>
    </w:p>
    <w:p xmlns:wp14="http://schemas.microsoft.com/office/word/2010/wordml" w:rsidR="006C5248" w:rsidRDefault="00481896" w14:paraId="17FC0A15" wp14:textId="77777777">
      <w:pPr>
        <w:numPr>
          <w:ilvl w:val="0"/>
          <w:numId w:val="4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Плани комутації — пристрої (комутатори, маршрутизатори), що виконують передачу даних за вказівками контролера.</w:t>
      </w:r>
    </w:p>
    <w:p xmlns:wp14="http://schemas.microsoft.com/office/word/2010/wordml" w:rsidR="006C5248" w:rsidRDefault="00481896" w14:paraId="4029BEA8" wp14:textId="77777777">
      <w:pPr>
        <w:numPr>
          <w:ilvl w:val="0"/>
          <w:numId w:val="4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Південні інтерфейси (Southbound APIs) — наприклад, OpenFlow, для зв’язку контролера з пристроями.</w:t>
      </w:r>
    </w:p>
    <w:p xmlns:wp14="http://schemas.microsoft.com/office/word/2010/wordml" w:rsidR="006C5248" w:rsidRDefault="00481896" w14:paraId="5F49FC5F" wp14:textId="77777777">
      <w:pPr>
        <w:numPr>
          <w:ilvl w:val="0"/>
          <w:numId w:val="4"/>
        </w:numPr>
        <w:spacing w:after="24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Північні інтерфейси (Northbound APIs) — для взаємодії з додатками управління.</w:t>
      </w:r>
    </w:p>
    <w:p xmlns:wp14="http://schemas.microsoft.com/office/word/2010/wordml" w:rsidR="006C5248" w:rsidRDefault="00481896" w14:paraId="2D285FD1" wp14:textId="77777777">
      <w:pPr>
        <w:pStyle w:val="3"/>
        <w:keepNext w:val="0"/>
        <w:keepLines w:val="0"/>
        <w:spacing w:before="280" w:after="80" w:line="360" w:lineRule="auto"/>
        <w:ind w:left="720" w:hanging="11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bookmarkStart w:name="_odel17t88qq1" w:colFirst="0" w:colLast="0" w:id="1"/>
      <w:bookmarkEnd w:id="1"/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Функціональні можливості</w:t>
      </w:r>
    </w:p>
    <w:p xmlns:wp14="http://schemas.microsoft.com/office/word/2010/wordml" w:rsidR="006C5248" w:rsidRDefault="00481896" w14:paraId="0EF06A2D" wp14:textId="77777777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SDN забезпечує:</w:t>
      </w:r>
    </w:p>
    <w:p xmlns:wp14="http://schemas.microsoft.com/office/word/2010/wordml" w:rsidR="006C5248" w:rsidRDefault="00481896" w14:paraId="10ED627E" wp14:textId="77777777">
      <w:pPr>
        <w:numPr>
          <w:ilvl w:val="0"/>
          <w:numId w:val="1"/>
        </w:numPr>
        <w:spacing w:before="240"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Централізоване управління мережею для швидкої конфігурації.</w:t>
      </w:r>
    </w:p>
    <w:p xmlns:wp14="http://schemas.microsoft.com/office/word/2010/wordml" w:rsidR="006C5248" w:rsidRDefault="00481896" w14:paraId="083C7A95" wp14:textId="77777777">
      <w:pPr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Оптимізацію трафіку через динамічне перерозподілення.</w:t>
      </w:r>
    </w:p>
    <w:p xmlns:wp14="http://schemas.microsoft.com/office/word/2010/wordml" w:rsidR="006C5248" w:rsidRDefault="00481896" w14:paraId="258DA8E1" wp14:textId="77777777">
      <w:pPr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Підвищену безпеку завдяки інтеграції політик.</w:t>
      </w:r>
    </w:p>
    <w:p xmlns:wp14="http://schemas.microsoft.com/office/word/2010/wordml" w:rsidR="006C5248" w:rsidRDefault="00481896" w14:paraId="0069EF26" wp14:textId="1562422D">
      <w:pPr>
        <w:numPr>
          <w:ilvl w:val="0"/>
          <w:numId w:val="1"/>
        </w:numPr>
        <w:spacing w:after="24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Гнучкість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у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підтримці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нових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сервісів</w:t>
      </w:r>
      <w:r w:rsidRPr="7D7267BC" w:rsidR="0D736313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5248" w:rsidRDefault="00481896" w14:paraId="4B38BDE4" wp14:textId="77777777">
      <w:pPr>
        <w:pStyle w:val="3"/>
        <w:keepNext w:val="0"/>
        <w:keepLines w:val="0"/>
        <w:spacing w:before="280" w:after="80" w:line="360" w:lineRule="auto"/>
        <w:ind w:left="720" w:hanging="11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bookmarkStart w:name="_oltg4bj7iha7" w:colFirst="0" w:colLast="0" w:id="2"/>
      <w:bookmarkEnd w:id="2"/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Застосування у корпоративних мережах</w:t>
      </w:r>
    </w:p>
    <w:p xmlns:wp14="http://schemas.microsoft.com/office/word/2010/wordml" w:rsidR="006C5248" w:rsidRDefault="00481896" w14:paraId="3FA9B1D8" wp14:textId="77777777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SDN використовується для:</w:t>
      </w:r>
    </w:p>
    <w:p xmlns:wp14="http://schemas.microsoft.com/office/word/2010/wordml" w:rsidR="006C5248" w:rsidRDefault="00481896" w14:paraId="3727F75C" wp14:textId="77777777">
      <w:pPr>
        <w:numPr>
          <w:ilvl w:val="0"/>
          <w:numId w:val="2"/>
        </w:numPr>
        <w:spacing w:before="240"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Оптимізації даних у центрах обробки (data centers).</w:t>
      </w:r>
    </w:p>
    <w:p xmlns:wp14="http://schemas.microsoft.com/office/word/2010/wordml" w:rsidR="006C5248" w:rsidRDefault="00481896" w14:paraId="29FD991E" wp14:textId="77777777">
      <w:pPr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Управління мережею у хмарних середовищах.</w:t>
      </w:r>
    </w:p>
    <w:p xmlns:wp14="http://schemas.microsoft.com/office/word/2010/wordml" w:rsidR="006C5248" w:rsidRDefault="00481896" w14:paraId="65016E00" wp14:textId="16D135F5">
      <w:pPr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QoS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для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VoIP і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відеоконференцій</w:t>
      </w:r>
      <w:r w:rsidRPr="7D7267BC" w:rsidR="2AB7662C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5248" w:rsidRDefault="00481896" w14:paraId="6137DD70" wp14:textId="77777777">
      <w:pPr>
        <w:numPr>
          <w:ilvl w:val="0"/>
          <w:numId w:val="2"/>
        </w:numPr>
        <w:spacing w:after="240" w:line="360" w:lineRule="auto"/>
        <w:ind w:hanging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Автоматизації мережевих операцій.</w:t>
      </w:r>
    </w:p>
    <w:p xmlns:wp14="http://schemas.microsoft.com/office/word/2010/wordml" w:rsidR="006C5248" w:rsidRDefault="00481896" w14:paraId="29DEDED7" wp14:textId="77777777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Впровадження SDN у корпоративних системах має свої виклики. По-перше, висока початкова вартість: придбання контролерів SDN і переоснащення існуючої інфраструктури може коштувати сотні тисяч доларів, що ускладнює процес для малих фірм. По-друге, складність інтеграції: сумісність із застарілими пристроями часто вимагає значних зусиль, особливо в мережах із гетерогенною апаратною базою. Наприклад, у 2024 році кілька компаній повідомили про затримки впровадження SDN через несумісність із старими комутаторами. П</w:t>
      </w:r>
      <w:r>
        <w:rPr>
          <w:rFonts w:ascii="Times New Roman" w:hAnsi="Times New Roman" w:eastAsia="Times New Roman" w:cs="Times New Roman"/>
          <w:sz w:val="28"/>
          <w:szCs w:val="28"/>
        </w:rPr>
        <w:t>о-третє, безпека: централізований контролер є вразливим пунктом, і його компрометація може паралізувати всю мережу.</w:t>
      </w:r>
    </w:p>
    <w:p xmlns:wp14="http://schemas.microsoft.com/office/word/2010/wordml" w:rsidR="006C5248" w:rsidRDefault="00481896" w14:paraId="525D343A" wp14:textId="07FC2BF6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Перспективи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розвитку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пов’язані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інтеграцією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SDN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із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технологіями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5G,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що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дозволить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підвищити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пропускну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здатність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і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зменшити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затримки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реальному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часі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Також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активно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досліджується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комбінація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SDN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із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штучним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інтелектом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для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автоматичного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налаштування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мережі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основі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аналізу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трафіку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Наприклад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компанії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такі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як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Cisco,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уже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тестують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AI-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системи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для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прогнозування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навантаження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Крім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того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розвиток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SDN у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поєднанні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з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мережевими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функціями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як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послуга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(NFV)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може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знизити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витрати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апаратне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забезпечення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надаючи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гнучкість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для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малого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бізнесу</w:t>
      </w:r>
      <w:r w:rsidRPr="7D7267BC" w:rsidR="35F87349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5248" w:rsidRDefault="00481896" w14:paraId="73FB47DD" wp14:textId="77777777">
      <w:pPr>
        <w:pStyle w:val="3"/>
        <w:keepNext w:val="0"/>
        <w:keepLines w:val="0"/>
        <w:spacing w:before="280" w:after="80" w:line="360" w:lineRule="auto"/>
        <w:ind w:left="720" w:hanging="1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name="_c53t1n9svm75" w:colFirst="0" w:colLast="0" w:id="3"/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Висновки</w:t>
      </w:r>
    </w:p>
    <w:p xmlns:wp14="http://schemas.microsoft.com/office/word/2010/wordml" w:rsidR="006C5248" w:rsidRDefault="00481896" w14:paraId="73465636" wp14:textId="78CA3CAC">
      <w:pPr>
        <w:spacing w:before="240" w:after="240" w:line="36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SDN є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перспективним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рішенням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для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корпоративних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мереж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забезпечуючи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гнучкість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оптимізацію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та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безпеку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Розвиток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інтеграції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з 5G і AI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розширює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її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можливості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але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вимагає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подолання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викликів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сумісності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та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D7267BC" w:rsidR="00481896">
        <w:rPr>
          <w:rFonts w:ascii="Times New Roman" w:hAnsi="Times New Roman" w:eastAsia="Times New Roman" w:cs="Times New Roman"/>
          <w:sz w:val="28"/>
          <w:szCs w:val="28"/>
        </w:rPr>
        <w:t>безпеки</w:t>
      </w:r>
      <w:r w:rsidRPr="7D7267BC" w:rsidR="7795375C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C5248" w:rsidRDefault="00481896" w14:paraId="7FFDF12A" wp14:textId="77777777">
      <w:pPr>
        <w:spacing w:before="240" w:after="240" w:line="36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Література</w:t>
      </w:r>
    </w:p>
    <w:p xmlns:wp14="http://schemas.microsoft.com/office/word/2010/wordml" w:rsidR="006C5248" w:rsidRDefault="00481896" w14:paraId="429B37BF" wp14:textId="77777777">
      <w:pPr>
        <w:numPr>
          <w:ilvl w:val="0"/>
          <w:numId w:val="3"/>
        </w:numPr>
        <w:spacing w:before="240" w:after="0" w:line="360" w:lineRule="auto"/>
        <w:ind w:hanging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OpenFlow Switch Specification : [Version 1.5.1] / Open Networking Foundation. – 2015. – Режим доступу: https://opennetworking.org/wp-content/uploads/2014/10/openflow-switch-v1.5.1.pdf.</w:t>
      </w:r>
    </w:p>
    <w:p xmlns:wp14="http://schemas.microsoft.com/office/word/2010/wordml" w:rsidR="006C5248" w:rsidRDefault="00481896" w14:paraId="42424A8C" wp14:textId="77777777">
      <w:pPr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Кравченко О. Програмно-визначені мережі: основи та перспективи / О. Кравченко // Системи та мережі. – 2021. – № 3. – С. 22–29.</w:t>
      </w:r>
    </w:p>
    <w:p xmlns:wp14="http://schemas.microsoft.com/office/word/2010/wordml" w:rsidR="006C5248" w:rsidRDefault="00481896" w14:paraId="1ECAFD94" wp14:textId="77777777">
      <w:pPr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Software-Defined Networking (SDN) Overview / Cisco Docs. – Режим доступу: https://www.cisco.com/c/en/us/solutions/service-provider/software-defined-networking-sdn/index.html. </w:t>
      </w:r>
    </w:p>
    <w:p xmlns:wp14="http://schemas.microsoft.com/office/word/2010/wordml" w:rsidR="006C5248" w:rsidRDefault="00481896" w14:paraId="07FB092E" wp14:textId="77777777">
      <w:pPr>
        <w:numPr>
          <w:ilvl w:val="0"/>
          <w:numId w:val="3"/>
        </w:numPr>
        <w:spacing w:after="0" w:line="360" w:lineRule="auto"/>
        <w:ind w:hanging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Kreutz D. Software-Defined Networking: A Comprehensive Survey. – IEEE, 2015. – 128 с.</w:t>
      </w:r>
    </w:p>
    <w:p xmlns:wp14="http://schemas.microsoft.com/office/word/2010/wordml" w:rsidR="006C5248" w:rsidRDefault="00481896" w14:paraId="3B3312D0" wp14:textId="77777777">
      <w:pPr>
        <w:numPr>
          <w:ilvl w:val="0"/>
          <w:numId w:val="3"/>
        </w:numPr>
        <w:spacing w:after="240" w:line="360" w:lineRule="auto"/>
        <w:ind w:hanging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Іванов І. М. Оптимізація корпоративних мереж / І. М. Іванов. – К. : Технологія, 2019. – 220 с.</w:t>
      </w:r>
    </w:p>
    <w:p xmlns:wp14="http://schemas.microsoft.com/office/word/2010/wordml" w:rsidR="006C5248" w:rsidRDefault="006C5248" w14:paraId="5DAB6C7B" wp14:textId="77777777">
      <w:pPr>
        <w:spacing w:after="25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 w:rsidR="006C5248">
      <w:pgSz w:w="11906" w:h="16838" w:orient="portrait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04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912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F6A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41B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5882621">
    <w:abstractNumId w:val="3"/>
  </w:num>
  <w:num w:numId="2" w16cid:durableId="863861836">
    <w:abstractNumId w:val="1"/>
  </w:num>
  <w:num w:numId="3" w16cid:durableId="2077706847">
    <w:abstractNumId w:val="0"/>
  </w:num>
  <w:num w:numId="4" w16cid:durableId="84443826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8"/>
    <w:rsid w:val="00166A6A"/>
    <w:rsid w:val="00481896"/>
    <w:rsid w:val="006C5248"/>
    <w:rsid w:val="0447C688"/>
    <w:rsid w:val="0D736313"/>
    <w:rsid w:val="196038A8"/>
    <w:rsid w:val="2AB7662C"/>
    <w:rsid w:val="35F87349"/>
    <w:rsid w:val="406EE5D5"/>
    <w:rsid w:val="54A9EA11"/>
    <w:rsid w:val="7540C7E0"/>
    <w:rsid w:val="7795375C"/>
    <w:rsid w:val="7D045DB1"/>
    <w:rsid w:val="7D7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9F641"/>
  <w15:docId w15:val="{01101190-AFAE-495E-BD71-8A70FA0BE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Cambria" w:cs="Cambria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hAnsi="Calibri" w:eastAsia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 w:eastAsia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hAnsi="Calibri" w:eastAsia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hAnsi="Calibri" w:eastAsia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hAnsi="Calibri" w:eastAsia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hAnsi="Calibri" w:eastAsia="Calibri" w:cs="Calibri"/>
      <w:i/>
      <w:color w:val="243F6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color="4F81BD" w:sz="8" w:space="4"/>
      </w:pBdr>
      <w:spacing w:after="300" w:line="240" w:lineRule="auto"/>
    </w:pPr>
    <w:rPr>
      <w:rFonts w:ascii="Calibri" w:hAnsi="Calibri" w:eastAsia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hAnsi="Calibri" w:eastAsia="Calibri" w:cs="Calibri"/>
      <w:i/>
      <w:color w:val="4F81BD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https://orcid.org/0000-0002-8047-7647" TargetMode="External" Id="R69e10f6704394f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Карташов Олексій Ігорович</lastModifiedBy>
  <revision>3</revision>
  <dcterms:created xsi:type="dcterms:W3CDTF">2025-05-11T19:51:00.0000000Z</dcterms:created>
  <dcterms:modified xsi:type="dcterms:W3CDTF">2025-05-11T20:58:41.6373094Z</dcterms:modified>
</coreProperties>
</file>