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B4D" w:rsidRPr="00DA5B4D" w:rsidRDefault="00DA5B4D" w:rsidP="00DA5B4D">
      <w:pPr>
        <w:ind w:firstLine="709"/>
        <w:jc w:val="right"/>
        <w:rPr>
          <w:rStyle w:val="10"/>
          <w:sz w:val="28"/>
        </w:rPr>
      </w:pPr>
      <w:proofErr w:type="spellStart"/>
      <w:r w:rsidRPr="00DA5B4D">
        <w:rPr>
          <w:rStyle w:val="10"/>
          <w:sz w:val="28"/>
        </w:rPr>
        <w:t>Хижняк</w:t>
      </w:r>
      <w:proofErr w:type="spellEnd"/>
      <w:r w:rsidRPr="00DA5B4D">
        <w:rPr>
          <w:rStyle w:val="10"/>
          <w:sz w:val="28"/>
        </w:rPr>
        <w:t xml:space="preserve"> Інна Миколаївна</w:t>
      </w:r>
    </w:p>
    <w:p w:rsidR="00DA5B4D" w:rsidRPr="00DA5B4D" w:rsidRDefault="00DA5B4D" w:rsidP="00DA5B4D">
      <w:pPr>
        <w:pStyle w:val="1"/>
        <w:spacing w:after="0" w:line="360" w:lineRule="auto"/>
        <w:ind w:firstLine="708"/>
        <w:jc w:val="right"/>
        <w:rPr>
          <w:rStyle w:val="10"/>
          <w:rFonts w:ascii="Times New Roman" w:eastAsia="Times New Roman" w:hAnsi="Times New Roman"/>
          <w:sz w:val="28"/>
          <w:lang w:val="uk-UA"/>
        </w:rPr>
      </w:pPr>
      <w:r w:rsidRPr="00DA5B4D">
        <w:rPr>
          <w:rStyle w:val="10"/>
          <w:rFonts w:ascii="Times New Roman" w:eastAsia="Times New Roman" w:hAnsi="Times New Roman"/>
          <w:sz w:val="28"/>
        </w:rPr>
        <w:t>ВСП «Охтирський фаховий коледж СНАУ», м. Охтирка</w:t>
      </w:r>
    </w:p>
    <w:p w:rsidR="003F6564" w:rsidRPr="00B70367" w:rsidRDefault="00DA5B4D" w:rsidP="00DA5B4D">
      <w:pPr>
        <w:pStyle w:val="1"/>
        <w:spacing w:after="0" w:line="360" w:lineRule="auto"/>
        <w:ind w:firstLine="708"/>
        <w:jc w:val="center"/>
        <w:rPr>
          <w:rStyle w:val="10"/>
          <w:rFonts w:ascii="Times New Roman" w:eastAsia="Times New Roman" w:hAnsi="Times New Roman"/>
          <w:b/>
          <w:sz w:val="28"/>
          <w:lang w:val="uk-UA"/>
        </w:rPr>
      </w:pPr>
      <w:r w:rsidRPr="00B70367">
        <w:rPr>
          <w:rStyle w:val="10"/>
          <w:rFonts w:ascii="Times New Roman" w:eastAsia="Times New Roman" w:hAnsi="Times New Roman"/>
          <w:b/>
          <w:sz w:val="28"/>
          <w:lang w:val="uk-UA"/>
        </w:rPr>
        <w:t>ПЕРЕВАГИ ТА НЕДОЛІКИ НАЯВНИХ СИСТЕМ ОЦІНКИ ЕФЕКТИВНОСТІ ПОДАТКОВОЇ СИСТЕМИ</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Оптимальна податкова система є ключовим чинником стимулювання економічного зростання країни, адже вона одночасно враховує інтереси платників податків і сприяє соціально-економічному прогресу. Важливо, щоб така система забезпечувала своєчасне і повне надходження податкових платежів, що сприяє пок</w:t>
      </w:r>
      <w:r w:rsidR="00B70367" w:rsidRPr="00B70367">
        <w:rPr>
          <w:rStyle w:val="10"/>
          <w:rFonts w:ascii="Times New Roman" w:eastAsia="Times New Roman" w:hAnsi="Times New Roman"/>
          <w:sz w:val="28"/>
          <w:lang w:val="uk-UA"/>
        </w:rPr>
        <w:t>ращенню рівня життя населення [</w:t>
      </w:r>
      <w:r w:rsidRPr="00B70367">
        <w:rPr>
          <w:rStyle w:val="10"/>
          <w:rFonts w:ascii="Times New Roman" w:eastAsia="Times New Roman" w:hAnsi="Times New Roman"/>
          <w:sz w:val="28"/>
          <w:lang w:val="uk-UA"/>
        </w:rPr>
        <w:t>1, c. 110].</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 xml:space="preserve">Однак багато науковців та практикуючих економістів погоджуються, що поточна структура Податкового кодексу України не відповідає вимогам оптимальності. Вони вважають, що для підвищення ефективності податкової системи необхідно запровадити низькі ставки податку на прибуток та прогресивні ставки для оподаткування доходів фізичних осіб, зокрема приватних підприємців. Важливим також є створення пільгових умов для різних категорій платників податків і коригування ставок ПДВ для </w:t>
      </w:r>
      <w:r w:rsidR="00B70367" w:rsidRPr="00B70367">
        <w:rPr>
          <w:rStyle w:val="10"/>
          <w:rFonts w:ascii="Times New Roman" w:eastAsia="Times New Roman" w:hAnsi="Times New Roman"/>
          <w:sz w:val="28"/>
          <w:lang w:val="uk-UA"/>
        </w:rPr>
        <w:t>зовнішньоекономічних операцій [</w:t>
      </w:r>
      <w:r w:rsidRPr="00B70367">
        <w:rPr>
          <w:rStyle w:val="10"/>
          <w:rFonts w:ascii="Times New Roman" w:eastAsia="Times New Roman" w:hAnsi="Times New Roman"/>
          <w:sz w:val="28"/>
          <w:lang w:val="uk-UA"/>
        </w:rPr>
        <w:t>1, c. 110].</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Розмаїття податкових систем у Європейському Союзі підкреслює необхідність розроблення науково-методичних підходів до оцінювання їхньої конкурентоспроможності, що допоможе оптимізувати їхню діяльність в умовах глобалізації. Це дозволить не лише забезпечити ефективне функціонування податкових систем, але й стимулювати економічний розвиток на міжнародному рівні.</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Тим часом, значна частина досліджень сконцентрована на аналізі Міжнародного індексу податкової конкурентоспроможності, який часто використовується для порівняння податкових систем різних країн [</w:t>
      </w:r>
      <w:r w:rsidR="00B70367" w:rsidRPr="00B70367">
        <w:rPr>
          <w:rStyle w:val="10"/>
          <w:rFonts w:ascii="Times New Roman" w:eastAsia="Times New Roman" w:hAnsi="Times New Roman"/>
          <w:sz w:val="28"/>
          <w:lang w:val="uk-UA"/>
        </w:rPr>
        <w:t>2</w:t>
      </w:r>
      <w:r w:rsidRPr="00B70367">
        <w:rPr>
          <w:rStyle w:val="10"/>
          <w:rFonts w:ascii="Times New Roman" w:eastAsia="Times New Roman" w:hAnsi="Times New Roman"/>
          <w:sz w:val="28"/>
          <w:lang w:val="uk-UA"/>
        </w:rPr>
        <w:t>]. Фролова Н. Б. [</w:t>
      </w:r>
      <w:r w:rsidR="00B70367" w:rsidRPr="00B70367">
        <w:rPr>
          <w:rStyle w:val="10"/>
          <w:rFonts w:ascii="Times New Roman" w:eastAsia="Times New Roman" w:hAnsi="Times New Roman"/>
          <w:sz w:val="28"/>
          <w:lang w:val="uk-UA"/>
        </w:rPr>
        <w:t>3</w:t>
      </w:r>
      <w:r w:rsidRPr="00B70367">
        <w:rPr>
          <w:rStyle w:val="10"/>
          <w:rFonts w:ascii="Times New Roman" w:eastAsia="Times New Roman" w:hAnsi="Times New Roman"/>
          <w:sz w:val="28"/>
          <w:lang w:val="uk-UA"/>
        </w:rPr>
        <w:t xml:space="preserve">] у своєму дослідженні зосереджується на оподаткуванні прибутку підприємств за методикою </w:t>
      </w:r>
      <w:proofErr w:type="spellStart"/>
      <w:r w:rsidRPr="00B70367">
        <w:rPr>
          <w:rStyle w:val="10"/>
          <w:rFonts w:ascii="Times New Roman" w:eastAsia="Times New Roman" w:hAnsi="Times New Roman"/>
          <w:sz w:val="28"/>
          <w:lang w:val="uk-UA"/>
        </w:rPr>
        <w:t>Center</w:t>
      </w:r>
      <w:proofErr w:type="spellEnd"/>
      <w:r w:rsidRPr="00B70367">
        <w:rPr>
          <w:rStyle w:val="10"/>
          <w:rFonts w:ascii="Times New Roman" w:eastAsia="Times New Roman" w:hAnsi="Times New Roman"/>
          <w:sz w:val="28"/>
          <w:lang w:val="uk-UA"/>
        </w:rPr>
        <w:t xml:space="preserve"> </w:t>
      </w:r>
      <w:proofErr w:type="spellStart"/>
      <w:r w:rsidRPr="00B70367">
        <w:rPr>
          <w:rStyle w:val="10"/>
          <w:rFonts w:ascii="Times New Roman" w:eastAsia="Times New Roman" w:hAnsi="Times New Roman"/>
          <w:sz w:val="28"/>
          <w:lang w:val="uk-UA"/>
        </w:rPr>
        <w:t>for</w:t>
      </w:r>
      <w:proofErr w:type="spellEnd"/>
      <w:r w:rsidRPr="00B70367">
        <w:rPr>
          <w:rStyle w:val="10"/>
          <w:rFonts w:ascii="Times New Roman" w:eastAsia="Times New Roman" w:hAnsi="Times New Roman"/>
          <w:sz w:val="28"/>
          <w:lang w:val="uk-UA"/>
        </w:rPr>
        <w:t xml:space="preserve"> </w:t>
      </w:r>
      <w:proofErr w:type="spellStart"/>
      <w:r w:rsidRPr="00B70367">
        <w:rPr>
          <w:rStyle w:val="10"/>
          <w:rFonts w:ascii="Times New Roman" w:eastAsia="Times New Roman" w:hAnsi="Times New Roman"/>
          <w:sz w:val="28"/>
          <w:lang w:val="uk-UA"/>
        </w:rPr>
        <w:t>Global</w:t>
      </w:r>
      <w:proofErr w:type="spellEnd"/>
      <w:r w:rsidRPr="00B70367">
        <w:rPr>
          <w:rStyle w:val="10"/>
          <w:rFonts w:ascii="Times New Roman" w:eastAsia="Times New Roman" w:hAnsi="Times New Roman"/>
          <w:sz w:val="28"/>
          <w:lang w:val="uk-UA"/>
        </w:rPr>
        <w:t xml:space="preserve"> </w:t>
      </w:r>
      <w:proofErr w:type="spellStart"/>
      <w:r w:rsidRPr="00B70367">
        <w:rPr>
          <w:rStyle w:val="10"/>
          <w:rFonts w:ascii="Times New Roman" w:eastAsia="Times New Roman" w:hAnsi="Times New Roman"/>
          <w:sz w:val="28"/>
          <w:lang w:val="uk-UA"/>
        </w:rPr>
        <w:t>Tax</w:t>
      </w:r>
      <w:proofErr w:type="spellEnd"/>
      <w:r w:rsidRPr="00B70367">
        <w:rPr>
          <w:rStyle w:val="10"/>
          <w:rFonts w:ascii="Times New Roman" w:eastAsia="Times New Roman" w:hAnsi="Times New Roman"/>
          <w:sz w:val="28"/>
          <w:lang w:val="uk-UA"/>
        </w:rPr>
        <w:t xml:space="preserve"> </w:t>
      </w:r>
      <w:proofErr w:type="spellStart"/>
      <w:r w:rsidRPr="00B70367">
        <w:rPr>
          <w:rStyle w:val="10"/>
          <w:rFonts w:ascii="Times New Roman" w:eastAsia="Times New Roman" w:hAnsi="Times New Roman"/>
          <w:sz w:val="28"/>
          <w:lang w:val="uk-UA"/>
        </w:rPr>
        <w:t>Policy</w:t>
      </w:r>
      <w:proofErr w:type="spellEnd"/>
      <w:r w:rsidRPr="00B70367">
        <w:rPr>
          <w:rStyle w:val="10"/>
          <w:rFonts w:ascii="Times New Roman" w:eastAsia="Times New Roman" w:hAnsi="Times New Roman"/>
          <w:sz w:val="28"/>
          <w:lang w:val="uk-UA"/>
        </w:rPr>
        <w:t xml:space="preserve"> (USA), аналізуючи основні компоненти цієї системи в Україні та їх вплив на міжнародну </w:t>
      </w:r>
      <w:r w:rsidRPr="00B70367">
        <w:rPr>
          <w:rStyle w:val="10"/>
          <w:rFonts w:ascii="Times New Roman" w:eastAsia="Times New Roman" w:hAnsi="Times New Roman"/>
          <w:sz w:val="28"/>
          <w:lang w:val="uk-UA"/>
        </w:rPr>
        <w:lastRenderedPageBreak/>
        <w:t>конкурентоспроможність. Також авторка пропонує шляхи підвищення ефективності української системи оподаткування прибутків на основі міжнародних практик.</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Згідно з аналізом дослідження [</w:t>
      </w:r>
      <w:r w:rsidR="00B70367" w:rsidRPr="00B70367">
        <w:rPr>
          <w:rStyle w:val="10"/>
          <w:rFonts w:ascii="Times New Roman" w:eastAsia="Times New Roman" w:hAnsi="Times New Roman"/>
          <w:sz w:val="28"/>
          <w:lang w:val="uk-UA"/>
        </w:rPr>
        <w:t>4</w:t>
      </w:r>
      <w:r w:rsidRPr="00B70367">
        <w:rPr>
          <w:rStyle w:val="10"/>
          <w:rFonts w:ascii="Times New Roman" w:eastAsia="Times New Roman" w:hAnsi="Times New Roman"/>
          <w:sz w:val="28"/>
          <w:lang w:val="uk-UA"/>
        </w:rPr>
        <w:t>], висока позиція країни у рейтингу Міжнародного індексу податкової конкурентоспроможності корелює з високим рівнем ВВП на душу населення, що свідчить про те, що ефективні податкові системи сприяють загальному економічному благополуччю.</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Ці дослідження наголошують на важливості глибокого розуміння податкових систем та впливу податкової політики на економіку, підкреслюючи необхідність використання комплексного підходу для оцінювання та реформування податкових систем на національному та міжнародному рівнях.</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Науковий інтерес до оцінки податкових систем поширюється на різні аспекти і методики, що дозволяє багатогранно аналізувати і порівнювати податкові політики різних країн. Вивчення різноманітності підходів до вибору індикаторів та методів оцінювання відкриває нові перспективи для вдосконалення податкових систем.</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Індекс міжнародної податкової конкурентоспроможності (ITCI), що оцінює податкові системи 38 країн ОЕСР, слугує як мірка для визначення ефективності податкових політик відповідно до критеріїв конкурентоспроможності та нейтральності. В ідеальному податковому кодексі, який підтримує низькі маржинальні ставки і мінімізує економічні спотворення, не має бути переваг для окремих видів діяльності або груп осіб, що забезпечує однакові умови для всіх учасників економіки.</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 xml:space="preserve">ITCI залучає 43 індикатори, розподілені у п'ять основних категорій: корпоративне оподаткування, оподаткування доходів фізичних осіб, оподаткування споживання, оподаткування власності та міжнародне оподаткування. Ці категорії і </w:t>
      </w:r>
      <w:proofErr w:type="spellStart"/>
      <w:r w:rsidRPr="00B70367">
        <w:rPr>
          <w:rStyle w:val="10"/>
          <w:rFonts w:ascii="Times New Roman" w:eastAsia="Times New Roman" w:hAnsi="Times New Roman"/>
          <w:sz w:val="28"/>
          <w:lang w:val="uk-UA"/>
        </w:rPr>
        <w:t>підкатегорії</w:t>
      </w:r>
      <w:proofErr w:type="spellEnd"/>
      <w:r w:rsidRPr="00B70367">
        <w:rPr>
          <w:rStyle w:val="10"/>
          <w:rFonts w:ascii="Times New Roman" w:eastAsia="Times New Roman" w:hAnsi="Times New Roman"/>
          <w:sz w:val="28"/>
          <w:lang w:val="uk-UA"/>
        </w:rPr>
        <w:t xml:space="preserve"> дозволяють всебічно аналізувати та оцінювати податкову політику, виходячи з якісних та кількісних параметрів, і є важливим інструментом для розробки рекомендацій з оптимізації податкових систем на національному та міжн</w:t>
      </w:r>
      <w:r w:rsidR="00B70367" w:rsidRPr="00B70367">
        <w:rPr>
          <w:rStyle w:val="10"/>
          <w:rFonts w:ascii="Times New Roman" w:eastAsia="Times New Roman" w:hAnsi="Times New Roman"/>
          <w:sz w:val="28"/>
          <w:lang w:val="uk-UA"/>
        </w:rPr>
        <w:t>ародному рівнях [2].</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lastRenderedPageBreak/>
        <w:t>Аналіз методології Індексу міжнародної податкової конкурентоспроможності (ITCI) для України виявляє певні обмеження та можливості для її вдосконалення. Перше обмеження полягає у використанні значної кількості показників, що може призводити до статистичних помилок у підрахунках. Це може вплинути на достовірність загальних результатів, адже випадкові помилки у великій кількості показників можуть спотворити кінцеву оцінку.</w:t>
      </w:r>
    </w:p>
    <w:p w:rsidR="003F6564" w:rsidRPr="00B70367"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 xml:space="preserve">Друге обмеження стосується методики розрахунку оцінок у </w:t>
      </w:r>
      <w:proofErr w:type="spellStart"/>
      <w:r w:rsidRPr="00B70367">
        <w:rPr>
          <w:rStyle w:val="10"/>
          <w:rFonts w:ascii="Times New Roman" w:eastAsia="Times New Roman" w:hAnsi="Times New Roman"/>
          <w:sz w:val="28"/>
          <w:lang w:val="uk-UA"/>
        </w:rPr>
        <w:t>підкатегоріях</w:t>
      </w:r>
      <w:proofErr w:type="spellEnd"/>
      <w:r w:rsidRPr="00B70367">
        <w:rPr>
          <w:rStyle w:val="10"/>
          <w:rFonts w:ascii="Times New Roman" w:eastAsia="Times New Roman" w:hAnsi="Times New Roman"/>
          <w:sz w:val="28"/>
          <w:lang w:val="uk-UA"/>
        </w:rPr>
        <w:t xml:space="preserve">, які включають декілька показників. Особливо це стосується </w:t>
      </w:r>
      <w:proofErr w:type="spellStart"/>
      <w:r w:rsidRPr="00B70367">
        <w:rPr>
          <w:rStyle w:val="10"/>
          <w:rFonts w:ascii="Times New Roman" w:eastAsia="Times New Roman" w:hAnsi="Times New Roman"/>
          <w:sz w:val="28"/>
          <w:lang w:val="uk-UA"/>
        </w:rPr>
        <w:t>підкатегорії</w:t>
      </w:r>
      <w:proofErr w:type="spellEnd"/>
      <w:r w:rsidRPr="00B70367">
        <w:rPr>
          <w:rStyle w:val="10"/>
          <w:rFonts w:ascii="Times New Roman" w:eastAsia="Times New Roman" w:hAnsi="Times New Roman"/>
          <w:sz w:val="28"/>
          <w:lang w:val="uk-UA"/>
        </w:rPr>
        <w:t>, де різноманітні показники мають однакову вагу, що може не відображати їх реальний вплив на податкову систему країни. Наприклад, у категорії відшкодування витрат різні аспекти, як кількісні так і якісні, оцінюються однаково, що може призвести до непропорційної оцінки їх важливості.</w:t>
      </w:r>
    </w:p>
    <w:p w:rsidR="003F6564" w:rsidRDefault="003F6564" w:rsidP="003F6564">
      <w:pPr>
        <w:pStyle w:val="1"/>
        <w:spacing w:after="0" w:line="360" w:lineRule="auto"/>
        <w:ind w:firstLine="708"/>
        <w:jc w:val="both"/>
        <w:rPr>
          <w:rStyle w:val="10"/>
          <w:rFonts w:ascii="Times New Roman" w:eastAsia="Times New Roman" w:hAnsi="Times New Roman"/>
          <w:sz w:val="28"/>
          <w:lang w:val="uk-UA"/>
        </w:rPr>
      </w:pPr>
      <w:r w:rsidRPr="00B70367">
        <w:rPr>
          <w:rStyle w:val="10"/>
          <w:rFonts w:ascii="Times New Roman" w:eastAsia="Times New Roman" w:hAnsi="Times New Roman"/>
          <w:sz w:val="28"/>
          <w:lang w:val="uk-UA"/>
        </w:rPr>
        <w:t xml:space="preserve">Третя проблема випливає з того, що ITCI розраховується лише для країн-членів ОЕСР. Це створює виклик для України, оскільки її немає у списку країн, що вивчаються. Це обмежує можливість порівняльного аналізу з іншими країнами, які можуть бути важливими для зовнішньоекономічних </w:t>
      </w:r>
      <w:proofErr w:type="spellStart"/>
      <w:r w:rsidRPr="00B70367">
        <w:rPr>
          <w:rStyle w:val="10"/>
          <w:rFonts w:ascii="Times New Roman" w:eastAsia="Times New Roman" w:hAnsi="Times New Roman"/>
          <w:sz w:val="28"/>
          <w:lang w:val="uk-UA"/>
        </w:rPr>
        <w:t>зв'язків</w:t>
      </w:r>
      <w:proofErr w:type="spellEnd"/>
      <w:r w:rsidRPr="00B70367">
        <w:rPr>
          <w:rStyle w:val="10"/>
          <w:rFonts w:ascii="Times New Roman" w:eastAsia="Times New Roman" w:hAnsi="Times New Roman"/>
          <w:sz w:val="28"/>
          <w:lang w:val="uk-UA"/>
        </w:rPr>
        <w:t xml:space="preserve"> України.</w:t>
      </w:r>
    </w:p>
    <w:p w:rsidR="005E7ECA" w:rsidRPr="00B70367" w:rsidRDefault="005E7ECA" w:rsidP="003F6564">
      <w:pPr>
        <w:pStyle w:val="1"/>
        <w:spacing w:after="0" w:line="360" w:lineRule="auto"/>
        <w:ind w:firstLine="708"/>
        <w:jc w:val="both"/>
        <w:rPr>
          <w:rStyle w:val="10"/>
          <w:rFonts w:ascii="Times New Roman" w:eastAsia="Times New Roman" w:hAnsi="Times New Roman"/>
          <w:sz w:val="28"/>
          <w:lang w:val="uk-UA"/>
        </w:rPr>
      </w:pPr>
    </w:p>
    <w:p w:rsidR="00184E99" w:rsidRPr="00DA5B4D" w:rsidRDefault="00DA5B4D" w:rsidP="00DA5B4D">
      <w:pPr>
        <w:ind w:firstLine="708"/>
        <w:jc w:val="center"/>
        <w:rPr>
          <w:b/>
          <w:sz w:val="24"/>
          <w:szCs w:val="24"/>
          <w:lang w:val="uk-UA"/>
        </w:rPr>
      </w:pPr>
      <w:r w:rsidRPr="00DA5B4D">
        <w:rPr>
          <w:b/>
          <w:sz w:val="24"/>
          <w:szCs w:val="24"/>
          <w:lang w:val="uk-UA"/>
        </w:rPr>
        <w:t>Література</w:t>
      </w:r>
    </w:p>
    <w:p w:rsidR="00B70367" w:rsidRPr="00DA5B4D" w:rsidRDefault="00B70367" w:rsidP="00DA5B4D">
      <w:pPr>
        <w:pStyle w:val="11"/>
        <w:spacing w:after="0" w:line="360" w:lineRule="auto"/>
        <w:ind w:left="0" w:firstLine="708"/>
        <w:jc w:val="both"/>
        <w:rPr>
          <w:rStyle w:val="10"/>
          <w:rFonts w:ascii="Times New Roman" w:eastAsia="Times New Roman" w:hAnsi="Times New Roman"/>
          <w:sz w:val="24"/>
          <w:szCs w:val="24"/>
          <w:lang w:val="uk-UA"/>
        </w:rPr>
      </w:pPr>
      <w:r w:rsidRPr="00DA5B4D">
        <w:rPr>
          <w:rFonts w:ascii="Times New Roman" w:hAnsi="Times New Roman"/>
          <w:sz w:val="24"/>
          <w:szCs w:val="24"/>
          <w:lang w:val="uk-UA"/>
        </w:rPr>
        <w:t xml:space="preserve">1. </w:t>
      </w:r>
      <w:r w:rsidRPr="00DA5B4D">
        <w:rPr>
          <w:rStyle w:val="10"/>
          <w:rFonts w:ascii="Times New Roman" w:eastAsia="Times New Roman" w:hAnsi="Times New Roman"/>
          <w:sz w:val="24"/>
          <w:szCs w:val="24"/>
          <w:lang w:val="uk-UA"/>
        </w:rPr>
        <w:t xml:space="preserve">Савченко А.І., Славкова А.А. Фіскальні заходи України в умовах пандемії. </w:t>
      </w:r>
      <w:r w:rsidRPr="00DA5B4D">
        <w:rPr>
          <w:rStyle w:val="10"/>
          <w:rFonts w:ascii="Times New Roman" w:eastAsia="Times New Roman" w:hAnsi="Times New Roman"/>
          <w:i/>
          <w:sz w:val="24"/>
          <w:szCs w:val="24"/>
          <w:lang w:val="uk-UA"/>
        </w:rPr>
        <w:t>Матеріали конференції Фінансова політика України: можливості та обмеження в умовах глобальних економічних шоків</w:t>
      </w:r>
      <w:r w:rsidRPr="00DA5B4D">
        <w:rPr>
          <w:rStyle w:val="10"/>
          <w:rFonts w:ascii="Times New Roman" w:eastAsia="Times New Roman" w:hAnsi="Times New Roman"/>
          <w:sz w:val="24"/>
          <w:szCs w:val="24"/>
          <w:lang w:val="uk-UA"/>
        </w:rPr>
        <w:t>. 2021. С. 108-113.</w:t>
      </w:r>
    </w:p>
    <w:p w:rsidR="00B70367" w:rsidRPr="00DA5B4D" w:rsidRDefault="00B70367" w:rsidP="00DA5B4D">
      <w:pPr>
        <w:pStyle w:val="11"/>
        <w:spacing w:after="0" w:line="360" w:lineRule="auto"/>
        <w:ind w:left="0" w:firstLine="708"/>
        <w:jc w:val="both"/>
        <w:rPr>
          <w:rStyle w:val="10"/>
          <w:rFonts w:ascii="Times New Roman" w:eastAsia="Times New Roman" w:hAnsi="Times New Roman"/>
          <w:sz w:val="24"/>
          <w:szCs w:val="24"/>
          <w:lang w:val="uk-UA"/>
        </w:rPr>
      </w:pPr>
      <w:r w:rsidRPr="00DA5B4D">
        <w:rPr>
          <w:rStyle w:val="10"/>
          <w:rFonts w:ascii="Times New Roman" w:eastAsia="Times New Roman" w:hAnsi="Times New Roman"/>
          <w:sz w:val="24"/>
          <w:szCs w:val="24"/>
          <w:lang w:val="uk-UA"/>
        </w:rPr>
        <w:t xml:space="preserve">2. </w:t>
      </w:r>
      <w:proofErr w:type="spellStart"/>
      <w:r w:rsidRPr="00DA5B4D">
        <w:rPr>
          <w:rStyle w:val="10"/>
          <w:rFonts w:ascii="Times New Roman" w:eastAsia="Times New Roman" w:hAnsi="Times New Roman"/>
          <w:sz w:val="24"/>
          <w:szCs w:val="24"/>
          <w:lang w:val="uk-UA"/>
        </w:rPr>
        <w:t>Mengden</w:t>
      </w:r>
      <w:proofErr w:type="spellEnd"/>
      <w:r w:rsidRPr="00DA5B4D">
        <w:rPr>
          <w:rStyle w:val="10"/>
          <w:rFonts w:ascii="Times New Roman" w:eastAsia="Times New Roman" w:hAnsi="Times New Roman"/>
          <w:sz w:val="24"/>
          <w:szCs w:val="24"/>
          <w:lang w:val="uk-UA"/>
        </w:rPr>
        <w:t xml:space="preserve"> A. </w:t>
      </w:r>
      <w:proofErr w:type="spellStart"/>
      <w:r w:rsidRPr="00DA5B4D">
        <w:rPr>
          <w:rStyle w:val="10"/>
          <w:rFonts w:ascii="Times New Roman" w:eastAsia="Times New Roman" w:hAnsi="Times New Roman"/>
          <w:sz w:val="24"/>
          <w:szCs w:val="24"/>
          <w:lang w:val="uk-UA"/>
        </w:rPr>
        <w:t>International</w:t>
      </w:r>
      <w:proofErr w:type="spellEnd"/>
      <w:r w:rsidRPr="00DA5B4D">
        <w:rPr>
          <w:rStyle w:val="10"/>
          <w:rFonts w:ascii="Times New Roman" w:eastAsia="Times New Roman" w:hAnsi="Times New Roman"/>
          <w:sz w:val="24"/>
          <w:szCs w:val="24"/>
          <w:lang w:val="uk-UA"/>
        </w:rPr>
        <w:t xml:space="preserve"> </w:t>
      </w:r>
      <w:proofErr w:type="spellStart"/>
      <w:r w:rsidRPr="00DA5B4D">
        <w:rPr>
          <w:rStyle w:val="10"/>
          <w:rFonts w:ascii="Times New Roman" w:eastAsia="Times New Roman" w:hAnsi="Times New Roman"/>
          <w:sz w:val="24"/>
          <w:szCs w:val="24"/>
          <w:lang w:val="uk-UA"/>
        </w:rPr>
        <w:t>Tax</w:t>
      </w:r>
      <w:proofErr w:type="spellEnd"/>
      <w:r w:rsidRPr="00DA5B4D">
        <w:rPr>
          <w:rStyle w:val="10"/>
          <w:rFonts w:ascii="Times New Roman" w:eastAsia="Times New Roman" w:hAnsi="Times New Roman"/>
          <w:sz w:val="24"/>
          <w:szCs w:val="24"/>
          <w:lang w:val="uk-UA"/>
        </w:rPr>
        <w:t xml:space="preserve"> </w:t>
      </w:r>
      <w:proofErr w:type="spellStart"/>
      <w:r w:rsidRPr="00DA5B4D">
        <w:rPr>
          <w:rStyle w:val="10"/>
          <w:rFonts w:ascii="Times New Roman" w:eastAsia="Times New Roman" w:hAnsi="Times New Roman"/>
          <w:sz w:val="24"/>
          <w:szCs w:val="24"/>
          <w:lang w:val="uk-UA"/>
        </w:rPr>
        <w:t>Competitiveness</w:t>
      </w:r>
      <w:proofErr w:type="spellEnd"/>
      <w:r w:rsidRPr="00DA5B4D">
        <w:rPr>
          <w:rStyle w:val="10"/>
          <w:rFonts w:ascii="Times New Roman" w:eastAsia="Times New Roman" w:hAnsi="Times New Roman"/>
          <w:sz w:val="24"/>
          <w:szCs w:val="24"/>
          <w:lang w:val="uk-UA"/>
        </w:rPr>
        <w:t xml:space="preserve"> </w:t>
      </w:r>
      <w:proofErr w:type="spellStart"/>
      <w:r w:rsidRPr="00DA5B4D">
        <w:rPr>
          <w:rStyle w:val="10"/>
          <w:rFonts w:ascii="Times New Roman" w:eastAsia="Times New Roman" w:hAnsi="Times New Roman"/>
          <w:sz w:val="24"/>
          <w:szCs w:val="24"/>
          <w:lang w:val="uk-UA"/>
        </w:rPr>
        <w:t>Index</w:t>
      </w:r>
      <w:proofErr w:type="spellEnd"/>
      <w:r w:rsidRPr="00DA5B4D">
        <w:rPr>
          <w:rStyle w:val="10"/>
          <w:rFonts w:ascii="Times New Roman" w:eastAsia="Times New Roman" w:hAnsi="Times New Roman"/>
          <w:sz w:val="24"/>
          <w:szCs w:val="24"/>
          <w:lang w:val="uk-UA"/>
        </w:rPr>
        <w:t xml:space="preserve"> 2023 </w:t>
      </w:r>
      <w:proofErr w:type="spellStart"/>
      <w:r w:rsidRPr="00DA5B4D">
        <w:rPr>
          <w:rStyle w:val="10"/>
          <w:rFonts w:ascii="Times New Roman" w:eastAsia="Times New Roman" w:hAnsi="Times New Roman"/>
          <w:sz w:val="24"/>
          <w:szCs w:val="24"/>
          <w:lang w:val="uk-UA"/>
        </w:rPr>
        <w:t>Tax</w:t>
      </w:r>
      <w:proofErr w:type="spellEnd"/>
      <w:r w:rsidRPr="00DA5B4D">
        <w:rPr>
          <w:rStyle w:val="10"/>
          <w:rFonts w:ascii="Times New Roman" w:eastAsia="Times New Roman" w:hAnsi="Times New Roman"/>
          <w:sz w:val="24"/>
          <w:szCs w:val="24"/>
          <w:lang w:val="uk-UA"/>
        </w:rPr>
        <w:t xml:space="preserve"> </w:t>
      </w:r>
      <w:proofErr w:type="spellStart"/>
      <w:r w:rsidRPr="00DA5B4D">
        <w:rPr>
          <w:rStyle w:val="10"/>
          <w:rFonts w:ascii="Times New Roman" w:eastAsia="Times New Roman" w:hAnsi="Times New Roman"/>
          <w:sz w:val="24"/>
          <w:szCs w:val="24"/>
          <w:lang w:val="uk-UA"/>
        </w:rPr>
        <w:t>Foundation</w:t>
      </w:r>
      <w:proofErr w:type="spellEnd"/>
      <w:r w:rsidRPr="00DA5B4D">
        <w:rPr>
          <w:rStyle w:val="10"/>
          <w:rFonts w:ascii="Times New Roman" w:eastAsia="Times New Roman" w:hAnsi="Times New Roman"/>
          <w:sz w:val="24"/>
          <w:szCs w:val="24"/>
          <w:lang w:val="uk-UA"/>
        </w:rPr>
        <w:t xml:space="preserve">. 18.10.2023. URL: </w:t>
      </w:r>
      <w:hyperlink r:id="rId5" w:history="1">
        <w:r w:rsidRPr="00DA5B4D">
          <w:rPr>
            <w:rStyle w:val="a4"/>
            <w:rFonts w:ascii="Times New Roman" w:eastAsia="Times New Roman" w:hAnsi="Times New Roman"/>
            <w:sz w:val="24"/>
            <w:szCs w:val="24"/>
            <w:lang w:val="uk-UA"/>
          </w:rPr>
          <w:t>https://taxfoundation.org/research/all/global/2023-international-tax-competitiveness-index/</w:t>
        </w:r>
      </w:hyperlink>
    </w:p>
    <w:p w:rsidR="00B70367" w:rsidRPr="00DA5B4D" w:rsidRDefault="00B70367" w:rsidP="00DA5B4D">
      <w:pPr>
        <w:pStyle w:val="11"/>
        <w:spacing w:after="0" w:line="360" w:lineRule="auto"/>
        <w:ind w:left="0" w:firstLine="708"/>
        <w:jc w:val="both"/>
        <w:rPr>
          <w:rStyle w:val="10"/>
          <w:rFonts w:ascii="Times New Roman" w:eastAsia="Times New Roman" w:hAnsi="Times New Roman"/>
          <w:sz w:val="24"/>
          <w:szCs w:val="24"/>
          <w:lang w:val="uk-UA"/>
        </w:rPr>
      </w:pPr>
      <w:r w:rsidRPr="00DA5B4D">
        <w:rPr>
          <w:rStyle w:val="10"/>
          <w:rFonts w:ascii="Times New Roman" w:eastAsia="Times New Roman" w:hAnsi="Times New Roman"/>
          <w:sz w:val="24"/>
          <w:szCs w:val="24"/>
          <w:lang w:val="uk-UA"/>
        </w:rPr>
        <w:t xml:space="preserve">3. Фролова Н. Б. Оцінка міжнародної конкурентоспроможності системи оподаткування прибутку підприємств України. </w:t>
      </w:r>
      <w:r w:rsidRPr="00DA5B4D">
        <w:rPr>
          <w:rStyle w:val="10"/>
          <w:rFonts w:ascii="Times New Roman" w:eastAsia="Times New Roman" w:hAnsi="Times New Roman"/>
          <w:i/>
          <w:sz w:val="24"/>
          <w:szCs w:val="24"/>
          <w:lang w:val="uk-UA"/>
        </w:rPr>
        <w:t>Економіка і прогнозування</w:t>
      </w:r>
      <w:r w:rsidRPr="00DA5B4D">
        <w:rPr>
          <w:rStyle w:val="10"/>
          <w:rFonts w:ascii="Times New Roman" w:eastAsia="Times New Roman" w:hAnsi="Times New Roman"/>
          <w:sz w:val="24"/>
          <w:szCs w:val="24"/>
          <w:lang w:val="uk-UA"/>
        </w:rPr>
        <w:t>. 2021. № 1. С. 145–159.</w:t>
      </w:r>
    </w:p>
    <w:p w:rsidR="00B70367" w:rsidRPr="00E15D82" w:rsidRDefault="00B70367" w:rsidP="00E15D82">
      <w:pPr>
        <w:pStyle w:val="11"/>
        <w:spacing w:after="0" w:line="360" w:lineRule="auto"/>
        <w:ind w:left="0" w:firstLine="708"/>
        <w:jc w:val="both"/>
        <w:rPr>
          <w:rFonts w:ascii="Times New Roman" w:eastAsia="Times New Roman" w:hAnsi="Times New Roman"/>
          <w:sz w:val="24"/>
          <w:szCs w:val="24"/>
          <w:lang w:val="uk-UA"/>
        </w:rPr>
      </w:pPr>
      <w:r w:rsidRPr="00DA5B4D">
        <w:rPr>
          <w:rStyle w:val="10"/>
          <w:rFonts w:ascii="Times New Roman" w:eastAsia="Times New Roman" w:hAnsi="Times New Roman"/>
          <w:sz w:val="24"/>
          <w:szCs w:val="24"/>
          <w:lang w:val="uk-UA"/>
        </w:rPr>
        <w:t xml:space="preserve">4. Валігура В.А., Валігура Т.В. Оцінка конкурентоспроможності податкової системи України як чинника формування національного багатства. </w:t>
      </w:r>
      <w:r w:rsidRPr="00DA5B4D">
        <w:rPr>
          <w:rStyle w:val="10"/>
          <w:rFonts w:ascii="Times New Roman" w:eastAsia="Times New Roman" w:hAnsi="Times New Roman"/>
          <w:i/>
          <w:sz w:val="24"/>
          <w:szCs w:val="24"/>
          <w:lang w:val="uk-UA"/>
        </w:rPr>
        <w:t>Фінанси України</w:t>
      </w:r>
      <w:r w:rsidRPr="00DA5B4D">
        <w:rPr>
          <w:rStyle w:val="10"/>
          <w:rFonts w:ascii="Times New Roman" w:eastAsia="Times New Roman" w:hAnsi="Times New Roman"/>
          <w:sz w:val="24"/>
          <w:szCs w:val="24"/>
          <w:lang w:val="uk-UA"/>
        </w:rPr>
        <w:t>.  2022.  № 12.  С. 88-111.</w:t>
      </w:r>
      <w:bookmarkStart w:id="0" w:name="_GoBack"/>
      <w:bookmarkEnd w:id="0"/>
    </w:p>
    <w:sectPr w:rsidR="00B70367" w:rsidRPr="00E15D82" w:rsidSect="004D09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1054"/>
    <w:multiLevelType w:val="multilevel"/>
    <w:tmpl w:val="48B22E1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15:restartNumberingAfterBreak="0">
    <w:nsid w:val="102E5A87"/>
    <w:multiLevelType w:val="multilevel"/>
    <w:tmpl w:val="0E0459E0"/>
    <w:lvl w:ilvl="0">
      <w:start w:val="1"/>
      <w:numFmt w:val="decimal"/>
      <w:lvlText w:val="%1."/>
      <w:lvlJc w:val="left"/>
      <w:pPr>
        <w:ind w:left="1210" w:hanging="360"/>
      </w:pPr>
      <w:rPr>
        <w:rFonts w:ascii="Times New Roman" w:eastAsia="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12"/>
    <w:rsid w:val="00105FC5"/>
    <w:rsid w:val="00184E99"/>
    <w:rsid w:val="003F6564"/>
    <w:rsid w:val="004D098B"/>
    <w:rsid w:val="005C02B7"/>
    <w:rsid w:val="005E7ECA"/>
    <w:rsid w:val="006F0712"/>
    <w:rsid w:val="00B70367"/>
    <w:rsid w:val="00DA5B4D"/>
    <w:rsid w:val="00E1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4208C-9062-4D38-B8DF-91E2A59D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7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712"/>
    <w:pPr>
      <w:ind w:left="720"/>
      <w:contextualSpacing/>
    </w:pPr>
  </w:style>
  <w:style w:type="paragraph" w:customStyle="1" w:styleId="1">
    <w:name w:val="Звичайний1"/>
    <w:qFormat/>
    <w:rsid w:val="003F6564"/>
    <w:pPr>
      <w:spacing w:line="258" w:lineRule="auto"/>
    </w:pPr>
    <w:rPr>
      <w:rFonts w:ascii="Calibri" w:eastAsia="Calibri" w:hAnsi="Calibri" w:cs="Times New Roman"/>
      <w:szCs w:val="20"/>
      <w:lang w:eastAsia="ru-RU"/>
    </w:rPr>
  </w:style>
  <w:style w:type="character" w:customStyle="1" w:styleId="10">
    <w:name w:val="Шрифт абзацу за замовчуванням1"/>
    <w:rsid w:val="003F6564"/>
  </w:style>
  <w:style w:type="paragraph" w:customStyle="1" w:styleId="11">
    <w:name w:val="Абзац списку1"/>
    <w:basedOn w:val="1"/>
    <w:qFormat/>
    <w:rsid w:val="00B70367"/>
    <w:pPr>
      <w:ind w:left="720"/>
      <w:contextualSpacing/>
    </w:pPr>
    <w:rPr>
      <w:sz w:val="20"/>
    </w:rPr>
  </w:style>
  <w:style w:type="character" w:styleId="a4">
    <w:name w:val="Hyperlink"/>
    <w:basedOn w:val="a0"/>
    <w:uiPriority w:val="99"/>
    <w:unhideWhenUsed/>
    <w:rsid w:val="00B703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xfoundation.org/research/all/global/2023-international-tax-competitiveness-inde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855</Words>
  <Characters>4878</Characters>
  <Application>Microsoft Office Word</Application>
  <DocSecurity>0</DocSecurity>
  <Lines>40</Lines>
  <Paragraphs>11</Paragraphs>
  <ScaleCrop>false</ScaleCrop>
  <Company>SPecialiST RePack</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5</cp:revision>
  <dcterms:created xsi:type="dcterms:W3CDTF">2025-02-06T17:54:00Z</dcterms:created>
  <dcterms:modified xsi:type="dcterms:W3CDTF">2025-02-07T09:08:00Z</dcterms:modified>
</cp:coreProperties>
</file>