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494" w:rsidRDefault="00737494" w:rsidP="003E468A">
      <w:pPr>
        <w:shd w:val="clear" w:color="auto" w:fill="FFFFFF"/>
        <w:ind w:firstLine="709"/>
        <w:jc w:val="right"/>
        <w:rPr>
          <w:rFonts w:eastAsia="Times New Roman" w:cs="Times New Roman"/>
          <w:sz w:val="28"/>
          <w:szCs w:val="28"/>
          <w:lang w:val="uk-UA" w:eastAsia="ru-RU"/>
        </w:rPr>
      </w:pPr>
      <w:r>
        <w:rPr>
          <w:rFonts w:eastAsia="Times New Roman" w:cs="Times New Roman"/>
          <w:sz w:val="28"/>
          <w:szCs w:val="28"/>
          <w:lang w:val="uk-UA" w:eastAsia="ru-RU"/>
        </w:rPr>
        <w:t xml:space="preserve">Науковий керівник: Губа Марія Олександрівна, </w:t>
      </w:r>
      <w:proofErr w:type="spellStart"/>
      <w:r>
        <w:rPr>
          <w:rFonts w:eastAsia="Times New Roman" w:cs="Times New Roman"/>
          <w:sz w:val="28"/>
          <w:szCs w:val="28"/>
          <w:lang w:val="uk-UA" w:eastAsia="ru-RU"/>
        </w:rPr>
        <w:t>к.е.н</w:t>
      </w:r>
      <w:proofErr w:type="spellEnd"/>
      <w:r>
        <w:rPr>
          <w:rFonts w:eastAsia="Times New Roman" w:cs="Times New Roman"/>
          <w:sz w:val="28"/>
          <w:szCs w:val="28"/>
          <w:lang w:val="uk-UA" w:eastAsia="ru-RU"/>
        </w:rPr>
        <w:t>., доцент</w:t>
      </w:r>
    </w:p>
    <w:p w:rsidR="00345FD4" w:rsidRPr="00B179B4" w:rsidRDefault="00345FD4" w:rsidP="00345FD4">
      <w:pPr>
        <w:pStyle w:val="docdata"/>
        <w:spacing w:before="0" w:beforeAutospacing="0" w:after="0" w:afterAutospacing="0"/>
        <w:jc w:val="right"/>
        <w:rPr>
          <w:i/>
          <w:lang w:val="uk-UA"/>
        </w:rPr>
      </w:pPr>
      <w:hyperlink r:id="rId5" w:history="1">
        <w:r w:rsidRPr="00B179B4">
          <w:rPr>
            <w:i/>
            <w:color w:val="0563C1"/>
            <w:sz w:val="28"/>
            <w:szCs w:val="28"/>
            <w:u w:val="single"/>
            <w:lang w:val="uk-UA"/>
          </w:rPr>
          <w:t>https://orcid.org/0000-0001-7580-3818</w:t>
        </w:r>
      </w:hyperlink>
      <w:r w:rsidRPr="00B179B4">
        <w:rPr>
          <w:lang w:val="uk-UA"/>
        </w:rPr>
        <w:t> </w:t>
      </w:r>
    </w:p>
    <w:p w:rsidR="00345FD4" w:rsidRDefault="00345FD4" w:rsidP="003E468A">
      <w:pPr>
        <w:shd w:val="clear" w:color="auto" w:fill="FFFFFF"/>
        <w:ind w:firstLine="709"/>
        <w:jc w:val="right"/>
        <w:rPr>
          <w:rFonts w:eastAsia="Times New Roman" w:cs="Times New Roman"/>
          <w:sz w:val="28"/>
          <w:szCs w:val="28"/>
          <w:lang w:val="uk-UA" w:eastAsia="ru-RU"/>
        </w:rPr>
      </w:pPr>
    </w:p>
    <w:p w:rsidR="003E468A" w:rsidRPr="003E468A" w:rsidRDefault="00737494" w:rsidP="003E468A">
      <w:pPr>
        <w:shd w:val="clear" w:color="auto" w:fill="FFFFFF"/>
        <w:ind w:firstLine="709"/>
        <w:jc w:val="right"/>
        <w:rPr>
          <w:rFonts w:eastAsia="Times New Roman" w:cs="Times New Roman"/>
          <w:sz w:val="28"/>
          <w:szCs w:val="28"/>
          <w:lang w:val="uk-UA" w:eastAsia="ru-RU"/>
        </w:rPr>
      </w:pPr>
      <w:r>
        <w:rPr>
          <w:rFonts w:eastAsia="Times New Roman" w:cs="Times New Roman"/>
          <w:sz w:val="28"/>
          <w:szCs w:val="28"/>
          <w:lang w:val="uk-UA" w:eastAsia="ru-RU"/>
        </w:rPr>
        <w:t>Мозгова Валерія Євгенівна</w:t>
      </w:r>
      <w:r w:rsidR="003E468A" w:rsidRPr="003E468A">
        <w:rPr>
          <w:rFonts w:eastAsia="Times New Roman" w:cs="Times New Roman"/>
          <w:sz w:val="28"/>
          <w:szCs w:val="28"/>
          <w:lang w:val="uk-UA" w:eastAsia="ru-RU"/>
        </w:rPr>
        <w:t xml:space="preserve">, </w:t>
      </w:r>
      <w:r>
        <w:rPr>
          <w:rFonts w:eastAsia="Times New Roman" w:cs="Times New Roman"/>
          <w:sz w:val="28"/>
          <w:szCs w:val="28"/>
          <w:lang w:val="uk-UA" w:eastAsia="ru-RU"/>
        </w:rPr>
        <w:t>студентка</w:t>
      </w:r>
    </w:p>
    <w:p w:rsidR="00784E44" w:rsidRDefault="00737494" w:rsidP="00784E44">
      <w:pPr>
        <w:shd w:val="clear" w:color="auto" w:fill="FFFFFF"/>
        <w:ind w:firstLine="709"/>
        <w:jc w:val="right"/>
        <w:rPr>
          <w:rFonts w:eastAsia="Times New Roman" w:cs="Times New Roman"/>
          <w:sz w:val="28"/>
          <w:szCs w:val="28"/>
          <w:lang w:val="uk-UA" w:eastAsia="ru-RU"/>
        </w:rPr>
      </w:pPr>
      <w:r>
        <w:rPr>
          <w:rFonts w:eastAsia="Times New Roman" w:cs="Times New Roman"/>
          <w:sz w:val="28"/>
          <w:szCs w:val="28"/>
          <w:lang w:val="uk-UA" w:eastAsia="ru-RU"/>
        </w:rPr>
        <w:t xml:space="preserve">Університет митної справи та фінансів, </w:t>
      </w:r>
    </w:p>
    <w:p w:rsidR="00784E44" w:rsidRPr="00784E44" w:rsidRDefault="00784E44" w:rsidP="00784E44">
      <w:pPr>
        <w:shd w:val="clear" w:color="auto" w:fill="FFFFFF"/>
        <w:ind w:firstLine="709"/>
        <w:jc w:val="center"/>
        <w:rPr>
          <w:rFonts w:eastAsia="Times New Roman" w:cs="Times New Roman"/>
          <w:b/>
          <w:bCs/>
          <w:sz w:val="28"/>
          <w:szCs w:val="28"/>
          <w:lang w:val="uk-UA" w:eastAsia="ru-RU"/>
        </w:rPr>
      </w:pPr>
      <w:r w:rsidRPr="00784E44">
        <w:rPr>
          <w:rFonts w:eastAsia="Times New Roman" w:cs="Times New Roman"/>
          <w:b/>
          <w:sz w:val="28"/>
          <w:szCs w:val="28"/>
          <w:lang w:val="uk-UA" w:eastAsia="ru-RU"/>
        </w:rPr>
        <w:t>РОЗКРИТТЯ ІНВЕСТИЦІЙНОГО ПОТЕНЦІАЛУ СТРАХОВОГО РИНКУ В УМОВАХ ВЗАЄМОДІЇ ІЗ ФІНАНСОВИМ РИНКОМ</w:t>
      </w:r>
    </w:p>
    <w:p w:rsidR="00636F5D" w:rsidRPr="00636F5D" w:rsidRDefault="00636F5D" w:rsidP="003E468A">
      <w:pPr>
        <w:ind w:firstLine="709"/>
        <w:rPr>
          <w:sz w:val="28"/>
          <w:szCs w:val="28"/>
          <w:lang w:val="uk-UA"/>
        </w:rPr>
      </w:pPr>
      <w:r w:rsidRPr="00636F5D">
        <w:rPr>
          <w:sz w:val="28"/>
          <w:szCs w:val="28"/>
          <w:lang w:val="uk-UA"/>
        </w:rPr>
        <w:t>Страховий ринок посідає ключове місце в системі фінансової безпеки держави, поєднуючи захисну й інвестиційну функції. Забезпечуючи перерозподіл ризиків і стабільність економічних процесів, він одночасно акумулює фінансові ресурси, що спрямовуються на розвиток реального сектору</w:t>
      </w:r>
      <w:r w:rsidR="00F46570">
        <w:rPr>
          <w:sz w:val="28"/>
          <w:szCs w:val="28"/>
          <w:lang w:val="uk-UA"/>
        </w:rPr>
        <w:t xml:space="preserve"> </w:t>
      </w:r>
      <w:r w:rsidR="00345FD4">
        <w:rPr>
          <w:sz w:val="28"/>
          <w:szCs w:val="28"/>
          <w:lang w:val="uk-UA"/>
        </w:rPr>
        <w:t xml:space="preserve">економіки </w:t>
      </w:r>
      <w:r w:rsidR="00F46570">
        <w:rPr>
          <w:rFonts w:cs="Times New Roman"/>
          <w:sz w:val="28"/>
          <w:szCs w:val="28"/>
          <w:lang w:val="uk-UA"/>
        </w:rPr>
        <w:t>[1]</w:t>
      </w:r>
      <w:r w:rsidRPr="00636F5D">
        <w:rPr>
          <w:sz w:val="28"/>
          <w:szCs w:val="28"/>
          <w:lang w:val="uk-UA"/>
        </w:rPr>
        <w:t>. Як інституційні інвестори, страхові компанії формують довгострокові капітали через р</w:t>
      </w:r>
      <w:bookmarkStart w:id="0" w:name="_GoBack"/>
      <w:bookmarkEnd w:id="0"/>
      <w:r w:rsidRPr="00636F5D">
        <w:rPr>
          <w:sz w:val="28"/>
          <w:szCs w:val="28"/>
          <w:lang w:val="uk-UA"/>
        </w:rPr>
        <w:t>озміщення резервів у державні облігації, депозити, корпоративні цінні папери чи нерухомість, чим підвищують ліквідність і глибину фінансового ринку та сприяють диверсифікації інвестиційних потоків.</w:t>
      </w:r>
    </w:p>
    <w:p w:rsidR="003E468A" w:rsidRPr="003E468A" w:rsidRDefault="00345FD4" w:rsidP="003E468A">
      <w:pPr>
        <w:ind w:firstLine="709"/>
        <w:rPr>
          <w:rFonts w:eastAsia="Times New Roman" w:cs="Times New Roman"/>
          <w:sz w:val="28"/>
          <w:szCs w:val="28"/>
          <w:lang w:val="uk-UA" w:eastAsia="ru-RU"/>
        </w:rPr>
      </w:pPr>
      <w:r>
        <w:rPr>
          <w:rFonts w:eastAsia="Times New Roman" w:cs="Times New Roman"/>
          <w:sz w:val="28"/>
          <w:szCs w:val="28"/>
          <w:lang w:val="uk-UA" w:eastAsia="ru-RU"/>
        </w:rPr>
        <w:t>Варто зазначити, що п</w:t>
      </w:r>
      <w:r w:rsidR="003E468A" w:rsidRPr="003E468A">
        <w:rPr>
          <w:rFonts w:eastAsia="Times New Roman" w:cs="Times New Roman"/>
          <w:sz w:val="28"/>
          <w:szCs w:val="28"/>
          <w:lang w:val="uk-UA" w:eastAsia="ru-RU"/>
        </w:rPr>
        <w:t>опри високий потенціал страхового сектору</w:t>
      </w:r>
      <w:r>
        <w:rPr>
          <w:rFonts w:eastAsia="Times New Roman" w:cs="Times New Roman"/>
          <w:sz w:val="28"/>
          <w:szCs w:val="28"/>
          <w:lang w:val="uk-UA" w:eastAsia="ru-RU"/>
        </w:rPr>
        <w:t xml:space="preserve"> на ринку фінансових послуг</w:t>
      </w:r>
      <w:r w:rsidR="003E468A" w:rsidRPr="003E468A">
        <w:rPr>
          <w:rFonts w:eastAsia="Times New Roman" w:cs="Times New Roman"/>
          <w:sz w:val="28"/>
          <w:szCs w:val="28"/>
          <w:lang w:val="uk-UA" w:eastAsia="ru-RU"/>
        </w:rPr>
        <w:t>, в Україні він реалізується недостатньо. Частка страхових інвестицій у загальній структурі фінансових вкладень залишається незначною через низький рівень капіталізації страховиків, обмежену кількість інструментів для інвестування, нестабільність фондового ринку та недосконале нормативно-правове середовище. У результаті страхові компанії виконують переважно відшкодувальну, а не інвестиційну функцію, що обмежує їхній вплив на формування довгострокового фінансового потенціалу держави</w:t>
      </w:r>
      <w:r w:rsidR="00F46570">
        <w:rPr>
          <w:rFonts w:eastAsia="Times New Roman" w:cs="Times New Roman"/>
          <w:sz w:val="28"/>
          <w:szCs w:val="28"/>
          <w:lang w:val="uk-UA" w:eastAsia="ru-RU"/>
        </w:rPr>
        <w:t xml:space="preserve"> </w:t>
      </w:r>
      <w:r w:rsidR="00F46570">
        <w:rPr>
          <w:rFonts w:cs="Times New Roman"/>
          <w:sz w:val="28"/>
          <w:szCs w:val="28"/>
          <w:lang w:val="uk-UA"/>
        </w:rPr>
        <w:t>[2; 3]</w:t>
      </w:r>
      <w:r w:rsidR="003E468A" w:rsidRPr="003E468A">
        <w:rPr>
          <w:rFonts w:eastAsia="Times New Roman" w:cs="Times New Roman"/>
          <w:sz w:val="28"/>
          <w:szCs w:val="28"/>
          <w:lang w:val="uk-UA" w:eastAsia="ru-RU"/>
        </w:rPr>
        <w:t>.</w:t>
      </w:r>
    </w:p>
    <w:p w:rsidR="003E468A" w:rsidRPr="003E468A" w:rsidRDefault="003E468A" w:rsidP="003E468A">
      <w:pPr>
        <w:ind w:firstLine="709"/>
        <w:rPr>
          <w:rFonts w:eastAsia="Times New Roman" w:cs="Times New Roman"/>
          <w:sz w:val="28"/>
          <w:szCs w:val="28"/>
          <w:lang w:val="uk-UA" w:eastAsia="ru-RU"/>
        </w:rPr>
      </w:pPr>
      <w:r w:rsidRPr="003E468A">
        <w:rPr>
          <w:rFonts w:eastAsia="Times New Roman" w:cs="Times New Roman"/>
          <w:sz w:val="28"/>
          <w:szCs w:val="28"/>
          <w:lang w:val="uk-UA" w:eastAsia="ru-RU"/>
        </w:rPr>
        <w:t xml:space="preserve">Механізм взаємодії страхового </w:t>
      </w:r>
      <w:r w:rsidR="00345FD4">
        <w:rPr>
          <w:rFonts w:eastAsia="Times New Roman" w:cs="Times New Roman"/>
          <w:sz w:val="28"/>
          <w:szCs w:val="28"/>
          <w:lang w:val="uk-UA" w:eastAsia="ru-RU"/>
        </w:rPr>
        <w:t xml:space="preserve">та фінансового ринків </w:t>
      </w:r>
      <w:r w:rsidRPr="003E468A">
        <w:rPr>
          <w:rFonts w:eastAsia="Times New Roman" w:cs="Times New Roman"/>
          <w:sz w:val="28"/>
          <w:szCs w:val="28"/>
          <w:lang w:val="uk-UA" w:eastAsia="ru-RU"/>
        </w:rPr>
        <w:t xml:space="preserve">має багатоканальний характер і ґрунтується на безперервному русі капіталу між цими сегментами. Страхові компанії, акумулюючи кошти у вигляді страхових премій, формують резерви, що тимчасово вивільняються до моменту настання страхових випадків. Ці ресурси спрямовуються в інвестиційний обіг через банківські депозити, державні облігації, корпоративні цінні папери, пайові інвестиційні фонди та </w:t>
      </w:r>
      <w:r w:rsidRPr="003E468A">
        <w:rPr>
          <w:rFonts w:eastAsia="Times New Roman" w:cs="Times New Roman"/>
          <w:sz w:val="28"/>
          <w:szCs w:val="28"/>
          <w:lang w:val="uk-UA" w:eastAsia="ru-RU"/>
        </w:rPr>
        <w:lastRenderedPageBreak/>
        <w:t>операції з нерухомістю. У такий спосіб страховий ринок виступає важливим каналом мобілізації внутрішніх заощаджень і перетворює їх у довгостроковий інвестиційний капітал, підтримуючи розвиток фінансового ринку та підвищуючи його стабільність</w:t>
      </w:r>
      <w:r w:rsidR="00F46570">
        <w:rPr>
          <w:rFonts w:eastAsia="Times New Roman" w:cs="Times New Roman"/>
          <w:sz w:val="28"/>
          <w:szCs w:val="28"/>
          <w:lang w:val="uk-UA" w:eastAsia="ru-RU"/>
        </w:rPr>
        <w:t xml:space="preserve"> </w:t>
      </w:r>
      <w:r w:rsidR="00F46570">
        <w:rPr>
          <w:rFonts w:cs="Times New Roman"/>
          <w:sz w:val="28"/>
          <w:szCs w:val="28"/>
          <w:lang w:val="uk-UA"/>
        </w:rPr>
        <w:t>[2; 3]</w:t>
      </w:r>
      <w:r w:rsidRPr="003E468A">
        <w:rPr>
          <w:rFonts w:eastAsia="Times New Roman" w:cs="Times New Roman"/>
          <w:sz w:val="28"/>
          <w:szCs w:val="28"/>
          <w:lang w:val="uk-UA" w:eastAsia="ru-RU"/>
        </w:rPr>
        <w:t>.</w:t>
      </w:r>
    </w:p>
    <w:p w:rsidR="003E468A" w:rsidRPr="003E468A" w:rsidRDefault="003E468A" w:rsidP="003E468A">
      <w:pPr>
        <w:ind w:firstLine="709"/>
        <w:rPr>
          <w:rFonts w:eastAsia="Times New Roman" w:cs="Times New Roman"/>
          <w:sz w:val="28"/>
          <w:szCs w:val="28"/>
          <w:lang w:val="uk-UA" w:eastAsia="ru-RU"/>
        </w:rPr>
      </w:pPr>
      <w:r w:rsidRPr="003E468A">
        <w:rPr>
          <w:rFonts w:eastAsia="Times New Roman" w:cs="Times New Roman"/>
          <w:sz w:val="28"/>
          <w:szCs w:val="28"/>
          <w:lang w:val="uk-UA" w:eastAsia="ru-RU"/>
        </w:rPr>
        <w:t>Водночас взаємозв’язок має і зворотний вплив: динаміка фінансового ринку визначає дохідність, ліквідність та ризиковість активів, у які інвестують страховики. Зміни процентних ставок, валютних курсів і кон’юнктури фондового ринку безпосередньо впливають на структуру інвестиційного портфеля страхових компаній, зумовлюючи переорієнтацію на більш надійні або прибуткові інструменти. Таким чином, фінансовий ринок виступає середовищем формування дохідності страхового бізнесу та одночасно фактором його фінансової стійкості.</w:t>
      </w:r>
    </w:p>
    <w:p w:rsidR="003E468A" w:rsidRPr="003E468A" w:rsidRDefault="003E468A" w:rsidP="003E468A">
      <w:pPr>
        <w:ind w:firstLine="709"/>
        <w:rPr>
          <w:rFonts w:eastAsia="Times New Roman" w:cs="Times New Roman"/>
          <w:sz w:val="28"/>
          <w:szCs w:val="28"/>
          <w:lang w:val="uk-UA" w:eastAsia="ru-RU"/>
        </w:rPr>
      </w:pPr>
      <w:r w:rsidRPr="003E468A">
        <w:rPr>
          <w:rFonts w:eastAsia="Times New Roman" w:cs="Times New Roman"/>
          <w:sz w:val="28"/>
          <w:szCs w:val="28"/>
          <w:lang w:val="uk-UA" w:eastAsia="ru-RU"/>
        </w:rPr>
        <w:t xml:space="preserve">Європейські тенденції розвитку страхових інвестицій базуються на принципах прозорості, ризик-орієнтованого нагляду та стандартизації вимог до капіталу відповідно до директиви </w:t>
      </w:r>
      <w:proofErr w:type="spellStart"/>
      <w:r w:rsidRPr="00636F5D">
        <w:rPr>
          <w:rFonts w:eastAsia="Times New Roman" w:cs="Times New Roman"/>
          <w:bCs/>
          <w:sz w:val="28"/>
          <w:szCs w:val="28"/>
          <w:lang w:val="uk-UA" w:eastAsia="ru-RU"/>
        </w:rPr>
        <w:t>Solvency</w:t>
      </w:r>
      <w:proofErr w:type="spellEnd"/>
      <w:r w:rsidRPr="00636F5D">
        <w:rPr>
          <w:rFonts w:eastAsia="Times New Roman" w:cs="Times New Roman"/>
          <w:bCs/>
          <w:sz w:val="28"/>
          <w:szCs w:val="28"/>
          <w:lang w:val="uk-UA" w:eastAsia="ru-RU"/>
        </w:rPr>
        <w:t xml:space="preserve"> II</w:t>
      </w:r>
      <w:r w:rsidRPr="003E468A">
        <w:rPr>
          <w:rFonts w:eastAsia="Times New Roman" w:cs="Times New Roman"/>
          <w:sz w:val="28"/>
          <w:szCs w:val="28"/>
          <w:lang w:val="uk-UA" w:eastAsia="ru-RU"/>
        </w:rPr>
        <w:t>. Це забезпечує узгодження інвестиційної політики страховиків із рівнем прийнятного ризику та підвищує їхню стійкість до коливань ринку</w:t>
      </w:r>
      <w:r w:rsidR="00F46570">
        <w:rPr>
          <w:rFonts w:eastAsia="Times New Roman" w:cs="Times New Roman"/>
          <w:sz w:val="28"/>
          <w:szCs w:val="28"/>
          <w:lang w:val="uk-UA" w:eastAsia="ru-RU"/>
        </w:rPr>
        <w:t xml:space="preserve"> </w:t>
      </w:r>
      <w:r w:rsidR="00F46570">
        <w:rPr>
          <w:rFonts w:cs="Times New Roman"/>
          <w:sz w:val="28"/>
          <w:szCs w:val="28"/>
          <w:lang w:val="uk-UA"/>
        </w:rPr>
        <w:t>[4; 5]</w:t>
      </w:r>
      <w:r w:rsidRPr="003E468A">
        <w:rPr>
          <w:rFonts w:eastAsia="Times New Roman" w:cs="Times New Roman"/>
          <w:sz w:val="28"/>
          <w:szCs w:val="28"/>
          <w:lang w:val="uk-UA" w:eastAsia="ru-RU"/>
        </w:rPr>
        <w:t xml:space="preserve">. В Україні натомість процес гармонізації із європейськими стандартами триває: впроваджуються вимоги щодо структури активів, що покривають страхові резерви, посилюється контроль за якістю фінансових інструментів і поступово розширюються можливості інвестування в корпоративні облігації, муніципальні </w:t>
      </w:r>
      <w:proofErr w:type="spellStart"/>
      <w:r w:rsidRPr="003E468A">
        <w:rPr>
          <w:rFonts w:eastAsia="Times New Roman" w:cs="Times New Roman"/>
          <w:sz w:val="28"/>
          <w:szCs w:val="28"/>
          <w:lang w:val="uk-UA" w:eastAsia="ru-RU"/>
        </w:rPr>
        <w:t>проєкти</w:t>
      </w:r>
      <w:proofErr w:type="spellEnd"/>
      <w:r w:rsidRPr="003E468A">
        <w:rPr>
          <w:rFonts w:eastAsia="Times New Roman" w:cs="Times New Roman"/>
          <w:sz w:val="28"/>
          <w:szCs w:val="28"/>
          <w:lang w:val="uk-UA" w:eastAsia="ru-RU"/>
        </w:rPr>
        <w:t xml:space="preserve"> та «зелені» фінансові інструменти.</w:t>
      </w:r>
    </w:p>
    <w:p w:rsidR="003E468A" w:rsidRPr="003E468A" w:rsidRDefault="003E468A" w:rsidP="003E468A">
      <w:pPr>
        <w:ind w:firstLine="709"/>
        <w:rPr>
          <w:rFonts w:eastAsia="Times New Roman" w:cs="Times New Roman"/>
          <w:sz w:val="28"/>
          <w:szCs w:val="28"/>
          <w:lang w:val="uk-UA" w:eastAsia="ru-RU"/>
        </w:rPr>
      </w:pPr>
      <w:r w:rsidRPr="003E468A">
        <w:rPr>
          <w:rFonts w:eastAsia="Times New Roman" w:cs="Times New Roman"/>
          <w:sz w:val="28"/>
          <w:szCs w:val="28"/>
          <w:lang w:val="uk-UA" w:eastAsia="ru-RU"/>
        </w:rPr>
        <w:t>Такі кроки створюють передумови для формування зрілого страхового ринку, здатного не лише виконувати захисну функцію, а й виступати одним із драйверів інвестиційного розвитку національної економіки.</w:t>
      </w:r>
    </w:p>
    <w:p w:rsidR="003E468A" w:rsidRPr="003E468A" w:rsidRDefault="003E468A" w:rsidP="003E468A">
      <w:pPr>
        <w:ind w:firstLine="709"/>
        <w:rPr>
          <w:rFonts w:eastAsia="Times New Roman" w:cs="Times New Roman"/>
          <w:sz w:val="28"/>
          <w:szCs w:val="28"/>
          <w:lang w:val="uk-UA" w:eastAsia="ru-RU"/>
        </w:rPr>
      </w:pPr>
      <w:r w:rsidRPr="003E468A">
        <w:rPr>
          <w:rFonts w:eastAsia="Times New Roman" w:cs="Times New Roman"/>
          <w:sz w:val="28"/>
          <w:szCs w:val="28"/>
          <w:lang w:val="uk-UA" w:eastAsia="ru-RU"/>
        </w:rPr>
        <w:t xml:space="preserve">Узагальнення результатів аналізу свідчить, що ефективність взаємодії страхового </w:t>
      </w:r>
      <w:r w:rsidR="00345FD4">
        <w:rPr>
          <w:rFonts w:eastAsia="Times New Roman" w:cs="Times New Roman"/>
          <w:sz w:val="28"/>
          <w:szCs w:val="28"/>
          <w:lang w:val="uk-UA" w:eastAsia="ru-RU"/>
        </w:rPr>
        <w:t xml:space="preserve">та фінансового ринків </w:t>
      </w:r>
      <w:r w:rsidRPr="003E468A">
        <w:rPr>
          <w:rFonts w:eastAsia="Times New Roman" w:cs="Times New Roman"/>
          <w:sz w:val="28"/>
          <w:szCs w:val="28"/>
          <w:lang w:val="uk-UA" w:eastAsia="ru-RU"/>
        </w:rPr>
        <w:t xml:space="preserve">залежить від рівня їхньої інтегрованості, стабільності інституційного середовища та прозорості регулювання інвестиційних процесів. В Україні спостерігається поступова трансформація страхового сектору від традиційно компенсаційної моделі до інвестиційно-акумуляційної, однак цей процес потребує методичного та аналітичного </w:t>
      </w:r>
      <w:r w:rsidRPr="003E468A">
        <w:rPr>
          <w:rFonts w:eastAsia="Times New Roman" w:cs="Times New Roman"/>
          <w:sz w:val="28"/>
          <w:szCs w:val="28"/>
          <w:lang w:val="uk-UA" w:eastAsia="ru-RU"/>
        </w:rPr>
        <w:lastRenderedPageBreak/>
        <w:t>підґрунтя для прийняття стратегічних рішень.</w:t>
      </w:r>
    </w:p>
    <w:p w:rsidR="003E468A" w:rsidRPr="003E468A" w:rsidRDefault="003E468A" w:rsidP="00636F5D">
      <w:pPr>
        <w:ind w:firstLine="709"/>
        <w:rPr>
          <w:rFonts w:eastAsia="Times New Roman" w:cs="Times New Roman"/>
          <w:sz w:val="28"/>
          <w:szCs w:val="28"/>
          <w:lang w:val="uk-UA" w:eastAsia="ru-RU"/>
        </w:rPr>
      </w:pPr>
      <w:r w:rsidRPr="003E468A">
        <w:rPr>
          <w:rFonts w:eastAsia="Times New Roman" w:cs="Times New Roman"/>
          <w:sz w:val="28"/>
          <w:szCs w:val="28"/>
          <w:lang w:val="uk-UA" w:eastAsia="ru-RU"/>
        </w:rPr>
        <w:t xml:space="preserve">У цьому контексті доцільним є запровадження </w:t>
      </w:r>
      <w:r w:rsidRPr="00636F5D">
        <w:rPr>
          <w:rFonts w:eastAsia="Times New Roman" w:cs="Times New Roman"/>
          <w:bCs/>
          <w:sz w:val="28"/>
          <w:szCs w:val="28"/>
          <w:lang w:val="uk-UA" w:eastAsia="ru-RU"/>
        </w:rPr>
        <w:t>національного індикатора інвестиційного потенціалу страхового ринку</w:t>
      </w:r>
      <w:r w:rsidRPr="003E468A">
        <w:rPr>
          <w:rFonts w:eastAsia="Times New Roman" w:cs="Times New Roman"/>
          <w:sz w:val="28"/>
          <w:szCs w:val="28"/>
          <w:lang w:val="uk-UA" w:eastAsia="ru-RU"/>
        </w:rPr>
        <w:t>, який би відображав обсяг, структуру, прибутковість і ризиковість страхових інвестицій у взаємозв’язку з показниками фінансового ринку. Такий індикатор дозволить здійснювати системний моніторинг впливу страхового сектору на фінансову стабільність, виявляти тенденції накопичення ризиків і прогнозувати стійкість фінансової системи в цілому.</w:t>
      </w:r>
      <w:r w:rsidR="00636F5D">
        <w:rPr>
          <w:rFonts w:eastAsia="Times New Roman" w:cs="Times New Roman"/>
          <w:sz w:val="28"/>
          <w:szCs w:val="28"/>
          <w:lang w:val="uk-UA" w:eastAsia="ru-RU"/>
        </w:rPr>
        <w:t xml:space="preserve"> </w:t>
      </w:r>
      <w:r w:rsidRPr="003E468A">
        <w:rPr>
          <w:rFonts w:eastAsia="Times New Roman" w:cs="Times New Roman"/>
          <w:sz w:val="28"/>
          <w:szCs w:val="28"/>
          <w:lang w:val="uk-UA" w:eastAsia="ru-RU"/>
        </w:rPr>
        <w:t xml:space="preserve">Його практичне застосування може стати основою для формування державної політики розвитку страхового інвестування, удосконалення регуляторних механізмів та інтеграції українського страхового ринку до європейського фінансового простору. Реалізація такого підходу сприятиме підвищенню рівня довіри до страхових інституцій, збільшенню їхньої участі у фінансуванні інфраструктурних, соціальних і «зелених» </w:t>
      </w:r>
      <w:proofErr w:type="spellStart"/>
      <w:r w:rsidRPr="003E468A">
        <w:rPr>
          <w:rFonts w:eastAsia="Times New Roman" w:cs="Times New Roman"/>
          <w:sz w:val="28"/>
          <w:szCs w:val="28"/>
          <w:lang w:val="uk-UA" w:eastAsia="ru-RU"/>
        </w:rPr>
        <w:t>проєктів</w:t>
      </w:r>
      <w:proofErr w:type="spellEnd"/>
      <w:r w:rsidRPr="003E468A">
        <w:rPr>
          <w:rFonts w:eastAsia="Times New Roman" w:cs="Times New Roman"/>
          <w:sz w:val="28"/>
          <w:szCs w:val="28"/>
          <w:lang w:val="uk-UA" w:eastAsia="ru-RU"/>
        </w:rPr>
        <w:t xml:space="preserve"> та забезпеченню довгострокової фінансової безпеки держави.</w:t>
      </w:r>
    </w:p>
    <w:p w:rsidR="003E468A" w:rsidRPr="00F46570" w:rsidRDefault="003E468A" w:rsidP="00636F5D">
      <w:pPr>
        <w:jc w:val="center"/>
        <w:rPr>
          <w:rFonts w:cs="Times New Roman"/>
          <w:b/>
          <w:szCs w:val="24"/>
          <w:lang w:val="uk-UA"/>
        </w:rPr>
      </w:pPr>
      <w:r w:rsidRPr="00F46570">
        <w:rPr>
          <w:rFonts w:cs="Times New Roman"/>
          <w:b/>
          <w:szCs w:val="24"/>
          <w:lang w:val="uk-UA"/>
        </w:rPr>
        <w:t>Література</w:t>
      </w:r>
    </w:p>
    <w:p w:rsidR="003E468A" w:rsidRPr="003E468A" w:rsidRDefault="00636F5D" w:rsidP="00F46570">
      <w:pPr>
        <w:pStyle w:val="a3"/>
        <w:widowControl w:val="0"/>
        <w:spacing w:before="0" w:beforeAutospacing="0" w:after="0" w:afterAutospacing="0" w:line="360" w:lineRule="auto"/>
        <w:ind w:firstLine="709"/>
        <w:jc w:val="both"/>
        <w:rPr>
          <w:lang w:val="uk-UA"/>
        </w:rPr>
      </w:pPr>
      <w:r>
        <w:rPr>
          <w:lang w:val="uk-UA"/>
        </w:rPr>
        <w:t xml:space="preserve">1. </w:t>
      </w:r>
      <w:r w:rsidR="003E468A" w:rsidRPr="003E468A">
        <w:rPr>
          <w:lang w:val="uk-UA"/>
        </w:rPr>
        <w:t xml:space="preserve">Слободянюк, О. В., &amp; </w:t>
      </w:r>
      <w:proofErr w:type="spellStart"/>
      <w:r w:rsidR="003E468A" w:rsidRPr="003E468A">
        <w:rPr>
          <w:lang w:val="uk-UA"/>
        </w:rPr>
        <w:t>Примаченко</w:t>
      </w:r>
      <w:proofErr w:type="spellEnd"/>
      <w:r w:rsidR="003E468A" w:rsidRPr="003E468A">
        <w:rPr>
          <w:lang w:val="uk-UA"/>
        </w:rPr>
        <w:t xml:space="preserve">, І. Ф. (2023). Страховий ринок: драйвер економічної безпеки. </w:t>
      </w:r>
      <w:r w:rsidR="003E468A" w:rsidRPr="003E468A">
        <w:rPr>
          <w:rStyle w:val="a6"/>
          <w:lang w:val="uk-UA"/>
        </w:rPr>
        <w:t>Науковий вісник Львівського державного університету внутрішніх справ. Серія економічна</w:t>
      </w:r>
      <w:r w:rsidR="003E468A" w:rsidRPr="003E468A">
        <w:rPr>
          <w:lang w:val="uk-UA"/>
        </w:rPr>
        <w:t xml:space="preserve">, (1), 88–94. </w:t>
      </w:r>
      <w:r w:rsidR="00F46570">
        <w:rPr>
          <w:lang w:val="en-US"/>
        </w:rPr>
        <w:t>DOI</w:t>
      </w:r>
      <w:r w:rsidR="00F46570">
        <w:rPr>
          <w:lang w:val="uk-UA"/>
        </w:rPr>
        <w:t xml:space="preserve">: </w:t>
      </w:r>
      <w:hyperlink r:id="rId6" w:history="1">
        <w:r w:rsidR="003E468A" w:rsidRPr="003E468A">
          <w:rPr>
            <w:rStyle w:val="a5"/>
            <w:rFonts w:eastAsiaTheme="majorEastAsia"/>
            <w:color w:val="auto"/>
            <w:lang w:val="uk-UA"/>
          </w:rPr>
          <w:t>https://doi.org/10.32782/2311-844X/2023-1-12</w:t>
        </w:r>
      </w:hyperlink>
    </w:p>
    <w:p w:rsidR="003E468A" w:rsidRPr="003E468A" w:rsidRDefault="00636F5D" w:rsidP="00F46570">
      <w:pPr>
        <w:pStyle w:val="a3"/>
        <w:widowControl w:val="0"/>
        <w:spacing w:before="0" w:beforeAutospacing="0" w:after="0" w:afterAutospacing="0" w:line="360" w:lineRule="auto"/>
        <w:ind w:firstLine="709"/>
        <w:jc w:val="both"/>
        <w:rPr>
          <w:lang w:val="uk-UA"/>
        </w:rPr>
      </w:pPr>
      <w:r>
        <w:rPr>
          <w:lang w:val="uk-UA"/>
        </w:rPr>
        <w:t xml:space="preserve">2. </w:t>
      </w:r>
      <w:proofErr w:type="spellStart"/>
      <w:r w:rsidR="003E468A" w:rsidRPr="003E468A">
        <w:rPr>
          <w:lang w:val="uk-UA"/>
        </w:rPr>
        <w:t>Ігошин</w:t>
      </w:r>
      <w:proofErr w:type="spellEnd"/>
      <w:r w:rsidR="003E468A" w:rsidRPr="003E468A">
        <w:rPr>
          <w:lang w:val="uk-UA"/>
        </w:rPr>
        <w:t xml:space="preserve">, М. М. (2025). Особливості інвестиційної діяльності страхових компаній в Україні. </w:t>
      </w:r>
      <w:r w:rsidR="003E468A" w:rsidRPr="003E468A">
        <w:rPr>
          <w:rStyle w:val="a6"/>
          <w:lang w:val="uk-UA"/>
        </w:rPr>
        <w:t>Трансформаційна економіка</w:t>
      </w:r>
      <w:r w:rsidR="003E468A" w:rsidRPr="003E468A">
        <w:rPr>
          <w:lang w:val="uk-UA"/>
        </w:rPr>
        <w:t xml:space="preserve">, (1(10)), 31–35. </w:t>
      </w:r>
      <w:r w:rsidR="00F46570">
        <w:rPr>
          <w:lang w:val="en-US"/>
        </w:rPr>
        <w:t>DOI</w:t>
      </w:r>
      <w:r w:rsidR="00F46570">
        <w:rPr>
          <w:lang w:val="uk-UA"/>
        </w:rPr>
        <w:t xml:space="preserve">: </w:t>
      </w:r>
      <w:hyperlink r:id="rId7" w:history="1">
        <w:r w:rsidR="003E468A" w:rsidRPr="003E468A">
          <w:rPr>
            <w:rStyle w:val="a5"/>
            <w:rFonts w:eastAsiaTheme="majorEastAsia"/>
            <w:color w:val="auto"/>
            <w:lang w:val="uk-UA"/>
          </w:rPr>
          <w:t>https://doi.org/10.32782/2786-8141/2025-10-5</w:t>
        </w:r>
      </w:hyperlink>
    </w:p>
    <w:p w:rsidR="00F46570" w:rsidRPr="003E468A" w:rsidRDefault="00F46570" w:rsidP="00F46570">
      <w:pPr>
        <w:pStyle w:val="a3"/>
        <w:widowControl w:val="0"/>
        <w:spacing w:before="0" w:beforeAutospacing="0" w:after="0" w:afterAutospacing="0" w:line="360" w:lineRule="auto"/>
        <w:ind w:firstLine="709"/>
        <w:jc w:val="both"/>
        <w:rPr>
          <w:lang w:val="uk-UA"/>
        </w:rPr>
      </w:pPr>
      <w:r>
        <w:rPr>
          <w:lang w:val="uk-UA"/>
        </w:rPr>
        <w:t xml:space="preserve">3. </w:t>
      </w:r>
      <w:r w:rsidRPr="003E468A">
        <w:rPr>
          <w:lang w:val="uk-UA"/>
        </w:rPr>
        <w:t xml:space="preserve">Страхування інвестицій та воєнних ризиків в Україні: захист капіталу та інвестора. (2025). </w:t>
      </w:r>
      <w:proofErr w:type="spellStart"/>
      <w:r w:rsidRPr="003E468A">
        <w:rPr>
          <w:rStyle w:val="a6"/>
          <w:lang w:val="uk-UA"/>
        </w:rPr>
        <w:t>ЛІГА.Бізнес</w:t>
      </w:r>
      <w:proofErr w:type="spellEnd"/>
      <w:r w:rsidRPr="003E468A">
        <w:rPr>
          <w:lang w:val="uk-UA"/>
        </w:rPr>
        <w:t xml:space="preserve">. </w:t>
      </w:r>
      <w:r>
        <w:rPr>
          <w:lang w:val="uk-UA"/>
        </w:rPr>
        <w:t>URL</w:t>
      </w:r>
      <w:r w:rsidRPr="003E468A">
        <w:rPr>
          <w:rFonts w:eastAsiaTheme="majorEastAsia"/>
          <w:lang w:val="uk-UA"/>
        </w:rPr>
        <w:t>:</w:t>
      </w:r>
      <w:r>
        <w:rPr>
          <w:rFonts w:eastAsiaTheme="majorEastAsia"/>
          <w:lang w:val="uk-UA"/>
        </w:rPr>
        <w:t xml:space="preserve"> </w:t>
      </w:r>
      <w:r w:rsidRPr="00F46570">
        <w:rPr>
          <w:rFonts w:eastAsiaTheme="majorEastAsia"/>
          <w:lang w:val="uk-UA"/>
        </w:rPr>
        <w:t>https:</w:t>
      </w:r>
      <w:r w:rsidRPr="003E468A">
        <w:rPr>
          <w:rFonts w:eastAsiaTheme="majorEastAsia"/>
          <w:lang w:val="uk-UA"/>
        </w:rPr>
        <w:t>//biz.ligazakon.net/analitycs/239491_strakhuvannya-nvestitsy-ta-vonnikh-rizikv-v-ukran-zakhist-kaptalu-ta-nvestora</w:t>
      </w:r>
    </w:p>
    <w:p w:rsidR="003E468A" w:rsidRPr="003E468A" w:rsidRDefault="00F46570" w:rsidP="00F46570">
      <w:pPr>
        <w:pStyle w:val="a3"/>
        <w:widowControl w:val="0"/>
        <w:spacing w:before="0" w:beforeAutospacing="0" w:after="0" w:afterAutospacing="0" w:line="360" w:lineRule="auto"/>
        <w:ind w:firstLine="709"/>
        <w:jc w:val="both"/>
        <w:rPr>
          <w:lang w:val="uk-UA"/>
        </w:rPr>
      </w:pPr>
      <w:r>
        <w:rPr>
          <w:lang w:val="uk-UA"/>
        </w:rPr>
        <w:t xml:space="preserve">4. </w:t>
      </w:r>
      <w:proofErr w:type="spellStart"/>
      <w:r w:rsidR="003E468A" w:rsidRPr="003E468A">
        <w:rPr>
          <w:lang w:val="uk-UA"/>
        </w:rPr>
        <w:t>Bonaccolto</w:t>
      </w:r>
      <w:proofErr w:type="spellEnd"/>
      <w:r w:rsidR="003E468A" w:rsidRPr="003E468A">
        <w:rPr>
          <w:lang w:val="uk-UA"/>
        </w:rPr>
        <w:t xml:space="preserve">, G., </w:t>
      </w:r>
      <w:proofErr w:type="spellStart"/>
      <w:r w:rsidR="003E468A" w:rsidRPr="003E468A">
        <w:rPr>
          <w:lang w:val="uk-UA"/>
        </w:rPr>
        <w:t>Borri</w:t>
      </w:r>
      <w:proofErr w:type="spellEnd"/>
      <w:r w:rsidR="003E468A" w:rsidRPr="003E468A">
        <w:rPr>
          <w:lang w:val="uk-UA"/>
        </w:rPr>
        <w:t xml:space="preserve">, N., </w:t>
      </w:r>
      <w:proofErr w:type="spellStart"/>
      <w:r w:rsidR="003E468A" w:rsidRPr="003E468A">
        <w:rPr>
          <w:lang w:val="uk-UA"/>
        </w:rPr>
        <w:t>Consiglio</w:t>
      </w:r>
      <w:proofErr w:type="spellEnd"/>
      <w:r w:rsidR="003E468A" w:rsidRPr="003E468A">
        <w:rPr>
          <w:lang w:val="uk-UA"/>
        </w:rPr>
        <w:t xml:space="preserve">, A., &amp; </w:t>
      </w:r>
      <w:proofErr w:type="spellStart"/>
      <w:r w:rsidR="003E468A" w:rsidRPr="003E468A">
        <w:rPr>
          <w:lang w:val="uk-UA"/>
        </w:rPr>
        <w:t>Di</w:t>
      </w:r>
      <w:proofErr w:type="spellEnd"/>
      <w:r w:rsidR="003E468A" w:rsidRPr="003E468A">
        <w:rPr>
          <w:lang w:val="uk-UA"/>
        </w:rPr>
        <w:t xml:space="preserve"> </w:t>
      </w:r>
      <w:proofErr w:type="spellStart"/>
      <w:r w:rsidR="003E468A" w:rsidRPr="003E468A">
        <w:rPr>
          <w:lang w:val="uk-UA"/>
        </w:rPr>
        <w:t>Giorgio</w:t>
      </w:r>
      <w:proofErr w:type="spellEnd"/>
      <w:r w:rsidR="003E468A" w:rsidRPr="003E468A">
        <w:rPr>
          <w:lang w:val="uk-UA"/>
        </w:rPr>
        <w:t xml:space="preserve">, G. (2025). </w:t>
      </w:r>
      <w:proofErr w:type="spellStart"/>
      <w:r w:rsidR="003E468A" w:rsidRPr="003E468A">
        <w:rPr>
          <w:rStyle w:val="a6"/>
          <w:lang w:val="uk-UA"/>
        </w:rPr>
        <w:t>Systemic</w:t>
      </w:r>
      <w:proofErr w:type="spellEnd"/>
      <w:r w:rsidR="003E468A" w:rsidRPr="003E468A">
        <w:rPr>
          <w:rStyle w:val="a6"/>
          <w:lang w:val="uk-UA"/>
        </w:rPr>
        <w:t xml:space="preserve"> </w:t>
      </w:r>
      <w:proofErr w:type="spellStart"/>
      <w:r w:rsidR="003E468A" w:rsidRPr="003E468A">
        <w:rPr>
          <w:rStyle w:val="a6"/>
          <w:lang w:val="uk-UA"/>
        </w:rPr>
        <w:t>risk</w:t>
      </w:r>
      <w:proofErr w:type="spellEnd"/>
      <w:r w:rsidR="003E468A" w:rsidRPr="003E468A">
        <w:rPr>
          <w:rStyle w:val="a6"/>
          <w:lang w:val="uk-UA"/>
        </w:rPr>
        <w:t xml:space="preserve"> </w:t>
      </w:r>
      <w:proofErr w:type="spellStart"/>
      <w:r w:rsidR="003E468A" w:rsidRPr="003E468A">
        <w:rPr>
          <w:rStyle w:val="a6"/>
          <w:lang w:val="uk-UA"/>
        </w:rPr>
        <w:t>in</w:t>
      </w:r>
      <w:proofErr w:type="spellEnd"/>
      <w:r w:rsidR="003E468A" w:rsidRPr="003E468A">
        <w:rPr>
          <w:rStyle w:val="a6"/>
          <w:lang w:val="uk-UA"/>
        </w:rPr>
        <w:t xml:space="preserve"> </w:t>
      </w:r>
      <w:proofErr w:type="spellStart"/>
      <w:r w:rsidR="003E468A" w:rsidRPr="003E468A">
        <w:rPr>
          <w:rStyle w:val="a6"/>
          <w:lang w:val="uk-UA"/>
        </w:rPr>
        <w:t>the</w:t>
      </w:r>
      <w:proofErr w:type="spellEnd"/>
      <w:r w:rsidR="003E468A" w:rsidRPr="003E468A">
        <w:rPr>
          <w:rStyle w:val="a6"/>
          <w:lang w:val="uk-UA"/>
        </w:rPr>
        <w:t xml:space="preserve"> </w:t>
      </w:r>
      <w:proofErr w:type="spellStart"/>
      <w:r w:rsidR="003E468A" w:rsidRPr="003E468A">
        <w:rPr>
          <w:rStyle w:val="a6"/>
          <w:lang w:val="uk-UA"/>
        </w:rPr>
        <w:t>European</w:t>
      </w:r>
      <w:proofErr w:type="spellEnd"/>
      <w:r w:rsidR="003E468A" w:rsidRPr="003E468A">
        <w:rPr>
          <w:rStyle w:val="a6"/>
          <w:lang w:val="uk-UA"/>
        </w:rPr>
        <w:t xml:space="preserve"> </w:t>
      </w:r>
      <w:proofErr w:type="spellStart"/>
      <w:r w:rsidR="003E468A" w:rsidRPr="003E468A">
        <w:rPr>
          <w:rStyle w:val="a6"/>
          <w:lang w:val="uk-UA"/>
        </w:rPr>
        <w:t>insurance</w:t>
      </w:r>
      <w:proofErr w:type="spellEnd"/>
      <w:r w:rsidR="003E468A" w:rsidRPr="003E468A">
        <w:rPr>
          <w:rStyle w:val="a6"/>
          <w:lang w:val="uk-UA"/>
        </w:rPr>
        <w:t xml:space="preserve"> </w:t>
      </w:r>
      <w:proofErr w:type="spellStart"/>
      <w:r w:rsidR="003E468A" w:rsidRPr="003E468A">
        <w:rPr>
          <w:rStyle w:val="a6"/>
          <w:lang w:val="uk-UA"/>
        </w:rPr>
        <w:t>sector</w:t>
      </w:r>
      <w:proofErr w:type="spellEnd"/>
      <w:r w:rsidR="003E468A" w:rsidRPr="003E468A">
        <w:rPr>
          <w:lang w:val="uk-UA"/>
        </w:rPr>
        <w:t xml:space="preserve">. </w:t>
      </w:r>
      <w:proofErr w:type="spellStart"/>
      <w:r w:rsidR="003E468A" w:rsidRPr="003E468A">
        <w:rPr>
          <w:lang w:val="uk-UA"/>
        </w:rPr>
        <w:t>a</w:t>
      </w:r>
      <w:r>
        <w:rPr>
          <w:lang w:val="uk-UA"/>
        </w:rPr>
        <w:t>rXiv</w:t>
      </w:r>
      <w:proofErr w:type="spellEnd"/>
      <w:r>
        <w:rPr>
          <w:lang w:val="uk-UA"/>
        </w:rPr>
        <w:t xml:space="preserve"> </w:t>
      </w:r>
      <w:proofErr w:type="spellStart"/>
      <w:r>
        <w:rPr>
          <w:lang w:val="uk-UA"/>
        </w:rPr>
        <w:t>preprint</w:t>
      </w:r>
      <w:proofErr w:type="spellEnd"/>
      <w:r>
        <w:rPr>
          <w:lang w:val="uk-UA"/>
        </w:rPr>
        <w:t xml:space="preserve"> arXiv:2505.02635.</w:t>
      </w:r>
      <w:r w:rsidRPr="003E468A">
        <w:rPr>
          <w:lang w:val="uk-UA"/>
        </w:rPr>
        <w:t xml:space="preserve"> </w:t>
      </w:r>
      <w:r>
        <w:rPr>
          <w:lang w:val="en-US"/>
        </w:rPr>
        <w:t>DOI</w:t>
      </w:r>
      <w:r>
        <w:rPr>
          <w:lang w:val="uk-UA"/>
        </w:rPr>
        <w:t xml:space="preserve">: </w:t>
      </w:r>
      <w:hyperlink r:id="rId8" w:history="1">
        <w:r w:rsidR="003E468A" w:rsidRPr="003E468A">
          <w:rPr>
            <w:rStyle w:val="a5"/>
            <w:rFonts w:eastAsiaTheme="majorEastAsia"/>
            <w:color w:val="auto"/>
            <w:lang w:val="uk-UA"/>
          </w:rPr>
          <w:t>https://doi.org/10.48550/arXiv.2505.02635</w:t>
        </w:r>
      </w:hyperlink>
    </w:p>
    <w:p w:rsidR="003E468A" w:rsidRPr="003E468A" w:rsidRDefault="00F46570" w:rsidP="00F46570">
      <w:pPr>
        <w:pStyle w:val="a3"/>
        <w:widowControl w:val="0"/>
        <w:spacing w:before="0" w:beforeAutospacing="0" w:after="0" w:afterAutospacing="0" w:line="360" w:lineRule="auto"/>
        <w:ind w:firstLine="709"/>
        <w:jc w:val="both"/>
        <w:rPr>
          <w:lang w:val="uk-UA"/>
        </w:rPr>
      </w:pPr>
      <w:r>
        <w:rPr>
          <w:lang w:val="uk-UA"/>
        </w:rPr>
        <w:t xml:space="preserve">5. </w:t>
      </w:r>
      <w:proofErr w:type="spellStart"/>
      <w:r w:rsidR="003E468A" w:rsidRPr="003E468A">
        <w:rPr>
          <w:lang w:val="uk-UA"/>
        </w:rPr>
        <w:t>European</w:t>
      </w:r>
      <w:proofErr w:type="spellEnd"/>
      <w:r w:rsidR="003E468A" w:rsidRPr="003E468A">
        <w:rPr>
          <w:lang w:val="uk-UA"/>
        </w:rPr>
        <w:t xml:space="preserve"> </w:t>
      </w:r>
      <w:proofErr w:type="spellStart"/>
      <w:r w:rsidR="003E468A" w:rsidRPr="003E468A">
        <w:rPr>
          <w:lang w:val="uk-UA"/>
        </w:rPr>
        <w:t>Insurance</w:t>
      </w:r>
      <w:proofErr w:type="spellEnd"/>
      <w:r w:rsidR="003E468A" w:rsidRPr="003E468A">
        <w:rPr>
          <w:lang w:val="uk-UA"/>
        </w:rPr>
        <w:t xml:space="preserve"> </w:t>
      </w:r>
      <w:proofErr w:type="spellStart"/>
      <w:r w:rsidR="003E468A" w:rsidRPr="003E468A">
        <w:rPr>
          <w:lang w:val="uk-UA"/>
        </w:rPr>
        <w:t>and</w:t>
      </w:r>
      <w:proofErr w:type="spellEnd"/>
      <w:r w:rsidR="003E468A" w:rsidRPr="003E468A">
        <w:rPr>
          <w:lang w:val="uk-UA"/>
        </w:rPr>
        <w:t xml:space="preserve"> </w:t>
      </w:r>
      <w:proofErr w:type="spellStart"/>
      <w:r w:rsidR="003E468A" w:rsidRPr="003E468A">
        <w:rPr>
          <w:lang w:val="uk-UA"/>
        </w:rPr>
        <w:t>Occupational</w:t>
      </w:r>
      <w:proofErr w:type="spellEnd"/>
      <w:r w:rsidR="003E468A" w:rsidRPr="003E468A">
        <w:rPr>
          <w:lang w:val="uk-UA"/>
        </w:rPr>
        <w:t xml:space="preserve"> </w:t>
      </w:r>
      <w:proofErr w:type="spellStart"/>
      <w:r w:rsidR="003E468A" w:rsidRPr="003E468A">
        <w:rPr>
          <w:lang w:val="uk-UA"/>
        </w:rPr>
        <w:t>Pensions</w:t>
      </w:r>
      <w:proofErr w:type="spellEnd"/>
      <w:r w:rsidR="003E468A" w:rsidRPr="003E468A">
        <w:rPr>
          <w:lang w:val="uk-UA"/>
        </w:rPr>
        <w:t xml:space="preserve"> </w:t>
      </w:r>
      <w:proofErr w:type="spellStart"/>
      <w:r w:rsidR="003E468A" w:rsidRPr="003E468A">
        <w:rPr>
          <w:lang w:val="uk-UA"/>
        </w:rPr>
        <w:t>Authority</w:t>
      </w:r>
      <w:proofErr w:type="spellEnd"/>
      <w:r w:rsidR="003E468A" w:rsidRPr="003E468A">
        <w:rPr>
          <w:lang w:val="uk-UA"/>
        </w:rPr>
        <w:t xml:space="preserve"> (EIOPA). (2025, </w:t>
      </w:r>
      <w:proofErr w:type="spellStart"/>
      <w:r w:rsidR="003E468A" w:rsidRPr="003E468A">
        <w:rPr>
          <w:lang w:val="uk-UA"/>
        </w:rPr>
        <w:t>June</w:t>
      </w:r>
      <w:proofErr w:type="spellEnd"/>
      <w:r w:rsidR="003E468A" w:rsidRPr="003E468A">
        <w:rPr>
          <w:lang w:val="uk-UA"/>
        </w:rPr>
        <w:t xml:space="preserve"> 25). </w:t>
      </w:r>
      <w:r w:rsidR="003E468A" w:rsidRPr="003E468A">
        <w:rPr>
          <w:rStyle w:val="a6"/>
          <w:lang w:val="uk-UA"/>
        </w:rPr>
        <w:t xml:space="preserve">EIOPA </w:t>
      </w:r>
      <w:proofErr w:type="spellStart"/>
      <w:r w:rsidR="003E468A" w:rsidRPr="003E468A">
        <w:rPr>
          <w:rStyle w:val="a6"/>
          <w:lang w:val="uk-UA"/>
        </w:rPr>
        <w:t>publishes</w:t>
      </w:r>
      <w:proofErr w:type="spellEnd"/>
      <w:r w:rsidR="003E468A" w:rsidRPr="003E468A">
        <w:rPr>
          <w:rStyle w:val="a6"/>
          <w:lang w:val="uk-UA"/>
        </w:rPr>
        <w:t xml:space="preserve"> </w:t>
      </w:r>
      <w:proofErr w:type="spellStart"/>
      <w:r w:rsidR="003E468A" w:rsidRPr="003E468A">
        <w:rPr>
          <w:rStyle w:val="a6"/>
          <w:lang w:val="uk-UA"/>
        </w:rPr>
        <w:t>research</w:t>
      </w:r>
      <w:proofErr w:type="spellEnd"/>
      <w:r w:rsidR="003E468A" w:rsidRPr="003E468A">
        <w:rPr>
          <w:rStyle w:val="a6"/>
          <w:lang w:val="uk-UA"/>
        </w:rPr>
        <w:t xml:space="preserve"> </w:t>
      </w:r>
      <w:proofErr w:type="spellStart"/>
      <w:r w:rsidR="003E468A" w:rsidRPr="003E468A">
        <w:rPr>
          <w:rStyle w:val="a6"/>
          <w:lang w:val="uk-UA"/>
        </w:rPr>
        <w:t>paper</w:t>
      </w:r>
      <w:proofErr w:type="spellEnd"/>
      <w:r w:rsidR="003E468A" w:rsidRPr="003E468A">
        <w:rPr>
          <w:rStyle w:val="a6"/>
          <w:lang w:val="uk-UA"/>
        </w:rPr>
        <w:t xml:space="preserve"> </w:t>
      </w:r>
      <w:proofErr w:type="spellStart"/>
      <w:r w:rsidR="003E468A" w:rsidRPr="003E468A">
        <w:rPr>
          <w:rStyle w:val="a6"/>
          <w:lang w:val="uk-UA"/>
        </w:rPr>
        <w:t>on</w:t>
      </w:r>
      <w:proofErr w:type="spellEnd"/>
      <w:r w:rsidR="003E468A" w:rsidRPr="003E468A">
        <w:rPr>
          <w:rStyle w:val="a6"/>
          <w:lang w:val="uk-UA"/>
        </w:rPr>
        <w:t xml:space="preserve"> </w:t>
      </w:r>
      <w:proofErr w:type="spellStart"/>
      <w:r w:rsidR="003E468A" w:rsidRPr="003E468A">
        <w:rPr>
          <w:rStyle w:val="a6"/>
          <w:lang w:val="uk-UA"/>
        </w:rPr>
        <w:t>insurers</w:t>
      </w:r>
      <w:proofErr w:type="spellEnd"/>
      <w:r w:rsidR="003E468A" w:rsidRPr="003E468A">
        <w:rPr>
          <w:rStyle w:val="a6"/>
          <w:lang w:val="uk-UA"/>
        </w:rPr>
        <w:t xml:space="preserve">’ </w:t>
      </w:r>
      <w:proofErr w:type="spellStart"/>
      <w:r w:rsidR="003E468A" w:rsidRPr="003E468A">
        <w:rPr>
          <w:rStyle w:val="a6"/>
          <w:lang w:val="uk-UA"/>
        </w:rPr>
        <w:t>contrarian</w:t>
      </w:r>
      <w:proofErr w:type="spellEnd"/>
      <w:r w:rsidR="003E468A" w:rsidRPr="003E468A">
        <w:rPr>
          <w:rStyle w:val="a6"/>
          <w:lang w:val="uk-UA"/>
        </w:rPr>
        <w:t xml:space="preserve"> </w:t>
      </w:r>
      <w:proofErr w:type="spellStart"/>
      <w:r w:rsidR="003E468A" w:rsidRPr="003E468A">
        <w:rPr>
          <w:rStyle w:val="a6"/>
          <w:lang w:val="uk-UA"/>
        </w:rPr>
        <w:t>investments</w:t>
      </w:r>
      <w:proofErr w:type="spellEnd"/>
      <w:r w:rsidR="003E468A" w:rsidRPr="003E468A">
        <w:rPr>
          <w:rStyle w:val="a6"/>
          <w:lang w:val="uk-UA"/>
        </w:rPr>
        <w:t xml:space="preserve"> </w:t>
      </w:r>
      <w:proofErr w:type="spellStart"/>
      <w:r w:rsidR="003E468A" w:rsidRPr="003E468A">
        <w:rPr>
          <w:rStyle w:val="a6"/>
          <w:lang w:val="uk-UA"/>
        </w:rPr>
        <w:t>in</w:t>
      </w:r>
      <w:proofErr w:type="spellEnd"/>
      <w:r w:rsidR="003E468A" w:rsidRPr="003E468A">
        <w:rPr>
          <w:rStyle w:val="a6"/>
          <w:lang w:val="uk-UA"/>
        </w:rPr>
        <w:t xml:space="preserve"> </w:t>
      </w:r>
      <w:proofErr w:type="spellStart"/>
      <w:r w:rsidR="003E468A" w:rsidRPr="003E468A">
        <w:rPr>
          <w:rStyle w:val="a6"/>
          <w:lang w:val="uk-UA"/>
        </w:rPr>
        <w:t>mutual</w:t>
      </w:r>
      <w:proofErr w:type="spellEnd"/>
      <w:r w:rsidR="003E468A" w:rsidRPr="003E468A">
        <w:rPr>
          <w:rStyle w:val="a6"/>
          <w:lang w:val="uk-UA"/>
        </w:rPr>
        <w:t xml:space="preserve"> </w:t>
      </w:r>
      <w:proofErr w:type="spellStart"/>
      <w:r w:rsidR="003E468A" w:rsidRPr="003E468A">
        <w:rPr>
          <w:rStyle w:val="a6"/>
          <w:lang w:val="uk-UA"/>
        </w:rPr>
        <w:t>funds</w:t>
      </w:r>
      <w:proofErr w:type="spellEnd"/>
      <w:r w:rsidR="003E468A" w:rsidRPr="003E468A">
        <w:rPr>
          <w:lang w:val="uk-UA"/>
        </w:rPr>
        <w:t xml:space="preserve">. </w:t>
      </w:r>
      <w:r>
        <w:rPr>
          <w:lang w:val="uk-UA"/>
        </w:rPr>
        <w:t>URL</w:t>
      </w:r>
      <w:r w:rsidRPr="003E468A">
        <w:rPr>
          <w:rFonts w:eastAsiaTheme="majorEastAsia"/>
          <w:lang w:val="uk-UA"/>
        </w:rPr>
        <w:t>:</w:t>
      </w:r>
      <w:r w:rsidR="003E468A" w:rsidRPr="003E468A">
        <w:rPr>
          <w:lang w:val="uk-UA"/>
        </w:rPr>
        <w:t xml:space="preserve"> </w:t>
      </w:r>
      <w:hyperlink r:id="rId9" w:history="1">
        <w:r w:rsidR="003E468A" w:rsidRPr="003E468A">
          <w:rPr>
            <w:rStyle w:val="a5"/>
            <w:rFonts w:eastAsiaTheme="majorEastAsia"/>
            <w:color w:val="auto"/>
            <w:lang w:val="uk-UA"/>
          </w:rPr>
          <w:t>https://www.eiopa.europa.eu/eiopa-publishes-research-paper-insurers-contrarian-investments-mutual-funds-2025-06-25_en</w:t>
        </w:r>
      </w:hyperlink>
    </w:p>
    <w:p w:rsidR="003E468A" w:rsidRPr="003E468A" w:rsidRDefault="003E468A" w:rsidP="003E468A">
      <w:pPr>
        <w:widowControl/>
        <w:spacing w:line="240" w:lineRule="auto"/>
        <w:jc w:val="left"/>
        <w:rPr>
          <w:szCs w:val="24"/>
          <w:lang w:val="en-US"/>
        </w:rPr>
      </w:pPr>
    </w:p>
    <w:sectPr w:rsidR="003E468A" w:rsidRPr="003E468A" w:rsidSect="003E468A">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F03D6"/>
    <w:multiLevelType w:val="multilevel"/>
    <w:tmpl w:val="B55C1C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6E782B"/>
    <w:multiLevelType w:val="multilevel"/>
    <w:tmpl w:val="9E606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8A"/>
    <w:rsid w:val="00046243"/>
    <w:rsid w:val="00345FD4"/>
    <w:rsid w:val="003E468A"/>
    <w:rsid w:val="005A2876"/>
    <w:rsid w:val="00636F5D"/>
    <w:rsid w:val="00737494"/>
    <w:rsid w:val="00784E44"/>
    <w:rsid w:val="008A0978"/>
    <w:rsid w:val="00D95FD9"/>
    <w:rsid w:val="00E849EB"/>
    <w:rsid w:val="00F46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A499C-F10B-4C09-8896-AAEC8E4FD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9EB"/>
    <w:pPr>
      <w:widowControl w:val="0"/>
      <w:spacing w:after="0" w:line="360" w:lineRule="auto"/>
      <w:jc w:val="both"/>
    </w:pPr>
    <w:rPr>
      <w:rFonts w:ascii="Times New Roman" w:hAnsi="Times New Roman"/>
      <w:sz w:val="24"/>
    </w:rPr>
  </w:style>
  <w:style w:type="paragraph" w:styleId="1">
    <w:name w:val="heading 1"/>
    <w:basedOn w:val="a"/>
    <w:next w:val="a"/>
    <w:link w:val="10"/>
    <w:uiPriority w:val="9"/>
    <w:qFormat/>
    <w:rsid w:val="003E46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3E468A"/>
    <w:pPr>
      <w:widowControl/>
      <w:spacing w:before="100" w:beforeAutospacing="1" w:after="100" w:afterAutospacing="1" w:line="240" w:lineRule="auto"/>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E468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E468A"/>
    <w:pPr>
      <w:widowControl/>
      <w:spacing w:before="100" w:beforeAutospacing="1" w:after="100" w:afterAutospacing="1" w:line="240" w:lineRule="auto"/>
      <w:jc w:val="left"/>
    </w:pPr>
    <w:rPr>
      <w:rFonts w:eastAsia="Times New Roman" w:cs="Times New Roman"/>
      <w:szCs w:val="24"/>
      <w:lang w:eastAsia="ru-RU"/>
    </w:rPr>
  </w:style>
  <w:style w:type="character" w:styleId="a4">
    <w:name w:val="Strong"/>
    <w:basedOn w:val="a0"/>
    <w:uiPriority w:val="22"/>
    <w:qFormat/>
    <w:rsid w:val="003E468A"/>
    <w:rPr>
      <w:b/>
      <w:bCs/>
    </w:rPr>
  </w:style>
  <w:style w:type="character" w:styleId="a5">
    <w:name w:val="Hyperlink"/>
    <w:basedOn w:val="a0"/>
    <w:uiPriority w:val="99"/>
    <w:unhideWhenUsed/>
    <w:rsid w:val="003E468A"/>
    <w:rPr>
      <w:color w:val="0563C1" w:themeColor="hyperlink"/>
      <w:u w:val="single"/>
    </w:rPr>
  </w:style>
  <w:style w:type="character" w:customStyle="1" w:styleId="10">
    <w:name w:val="Заголовок 1 Знак"/>
    <w:basedOn w:val="a0"/>
    <w:link w:val="1"/>
    <w:uiPriority w:val="9"/>
    <w:rsid w:val="003E468A"/>
    <w:rPr>
      <w:rFonts w:asciiTheme="majorHAnsi" w:eastAsiaTheme="majorEastAsia" w:hAnsiTheme="majorHAnsi" w:cstheme="majorBidi"/>
      <w:color w:val="2E74B5" w:themeColor="accent1" w:themeShade="BF"/>
      <w:sz w:val="32"/>
      <w:szCs w:val="32"/>
    </w:rPr>
  </w:style>
  <w:style w:type="character" w:customStyle="1" w:styleId="primary-subject">
    <w:name w:val="primary-subject"/>
    <w:basedOn w:val="a0"/>
    <w:rsid w:val="003E468A"/>
  </w:style>
  <w:style w:type="character" w:customStyle="1" w:styleId="arxivid">
    <w:name w:val="arxivid"/>
    <w:basedOn w:val="a0"/>
    <w:rsid w:val="003E468A"/>
  </w:style>
  <w:style w:type="character" w:styleId="a6">
    <w:name w:val="Emphasis"/>
    <w:basedOn w:val="a0"/>
    <w:uiPriority w:val="20"/>
    <w:qFormat/>
    <w:rsid w:val="003E468A"/>
    <w:rPr>
      <w:i/>
      <w:iCs/>
    </w:rPr>
  </w:style>
  <w:style w:type="paragraph" w:customStyle="1" w:styleId="docdata">
    <w:name w:val="docdata"/>
    <w:aliases w:val="docy,v5,2894,baiaagaaboqcaaadeakaaauecqaaaaaaaaaaaaaaaaaaaaaaaaaaaaaaaaaaaaaaaaaaaaaaaaaaaaaaaaaaaaaaaaaaaaaaaaaaaaaaaaaaaaaaaaaaaaaaaaaaaaaaaaaaaaaaaaaaaaaaaaaaaaaaaaaaaaaaaaaaaaaaaaaaaaaaaaaaaaaaaaaaaaaaaaaaaaaaaaaaaaaaaaaaaaaaaaaaaaaaaaaaaaaa"/>
    <w:basedOn w:val="a"/>
    <w:rsid w:val="00345FD4"/>
    <w:pPr>
      <w:widowControl/>
      <w:spacing w:before="100" w:beforeAutospacing="1" w:after="100" w:afterAutospacing="1" w:line="240" w:lineRule="auto"/>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23251">
      <w:bodyDiv w:val="1"/>
      <w:marLeft w:val="0"/>
      <w:marRight w:val="0"/>
      <w:marTop w:val="0"/>
      <w:marBottom w:val="0"/>
      <w:divBdr>
        <w:top w:val="none" w:sz="0" w:space="0" w:color="auto"/>
        <w:left w:val="none" w:sz="0" w:space="0" w:color="auto"/>
        <w:bottom w:val="none" w:sz="0" w:space="0" w:color="auto"/>
        <w:right w:val="none" w:sz="0" w:space="0" w:color="auto"/>
      </w:divBdr>
    </w:div>
    <w:div w:id="459030245">
      <w:bodyDiv w:val="1"/>
      <w:marLeft w:val="0"/>
      <w:marRight w:val="0"/>
      <w:marTop w:val="0"/>
      <w:marBottom w:val="0"/>
      <w:divBdr>
        <w:top w:val="none" w:sz="0" w:space="0" w:color="auto"/>
        <w:left w:val="none" w:sz="0" w:space="0" w:color="auto"/>
        <w:bottom w:val="none" w:sz="0" w:space="0" w:color="auto"/>
        <w:right w:val="none" w:sz="0" w:space="0" w:color="auto"/>
      </w:divBdr>
    </w:div>
    <w:div w:id="983587142">
      <w:bodyDiv w:val="1"/>
      <w:marLeft w:val="0"/>
      <w:marRight w:val="0"/>
      <w:marTop w:val="0"/>
      <w:marBottom w:val="0"/>
      <w:divBdr>
        <w:top w:val="none" w:sz="0" w:space="0" w:color="auto"/>
        <w:left w:val="none" w:sz="0" w:space="0" w:color="auto"/>
        <w:bottom w:val="none" w:sz="0" w:space="0" w:color="auto"/>
        <w:right w:val="none" w:sz="0" w:space="0" w:color="auto"/>
      </w:divBdr>
    </w:div>
    <w:div w:id="1222986884">
      <w:bodyDiv w:val="1"/>
      <w:marLeft w:val="0"/>
      <w:marRight w:val="0"/>
      <w:marTop w:val="0"/>
      <w:marBottom w:val="0"/>
      <w:divBdr>
        <w:top w:val="none" w:sz="0" w:space="0" w:color="auto"/>
        <w:left w:val="none" w:sz="0" w:space="0" w:color="auto"/>
        <w:bottom w:val="none" w:sz="0" w:space="0" w:color="auto"/>
        <w:right w:val="none" w:sz="0" w:space="0" w:color="auto"/>
      </w:divBdr>
    </w:div>
    <w:div w:id="1415935109">
      <w:bodyDiv w:val="1"/>
      <w:marLeft w:val="0"/>
      <w:marRight w:val="0"/>
      <w:marTop w:val="0"/>
      <w:marBottom w:val="0"/>
      <w:divBdr>
        <w:top w:val="none" w:sz="0" w:space="0" w:color="auto"/>
        <w:left w:val="none" w:sz="0" w:space="0" w:color="auto"/>
        <w:bottom w:val="none" w:sz="0" w:space="0" w:color="auto"/>
        <w:right w:val="none" w:sz="0" w:space="0" w:color="auto"/>
      </w:divBdr>
    </w:div>
    <w:div w:id="1468544610">
      <w:bodyDiv w:val="1"/>
      <w:marLeft w:val="0"/>
      <w:marRight w:val="0"/>
      <w:marTop w:val="0"/>
      <w:marBottom w:val="0"/>
      <w:divBdr>
        <w:top w:val="none" w:sz="0" w:space="0" w:color="auto"/>
        <w:left w:val="none" w:sz="0" w:space="0" w:color="auto"/>
        <w:bottom w:val="none" w:sz="0" w:space="0" w:color="auto"/>
        <w:right w:val="none" w:sz="0" w:space="0" w:color="auto"/>
      </w:divBdr>
    </w:div>
    <w:div w:id="1838228803">
      <w:bodyDiv w:val="1"/>
      <w:marLeft w:val="0"/>
      <w:marRight w:val="0"/>
      <w:marTop w:val="0"/>
      <w:marBottom w:val="0"/>
      <w:divBdr>
        <w:top w:val="none" w:sz="0" w:space="0" w:color="auto"/>
        <w:left w:val="none" w:sz="0" w:space="0" w:color="auto"/>
        <w:bottom w:val="none" w:sz="0" w:space="0" w:color="auto"/>
        <w:right w:val="none" w:sz="0" w:space="0" w:color="auto"/>
      </w:divBdr>
    </w:div>
    <w:div w:id="1905869009">
      <w:bodyDiv w:val="1"/>
      <w:marLeft w:val="0"/>
      <w:marRight w:val="0"/>
      <w:marTop w:val="0"/>
      <w:marBottom w:val="0"/>
      <w:divBdr>
        <w:top w:val="none" w:sz="0" w:space="0" w:color="auto"/>
        <w:left w:val="none" w:sz="0" w:space="0" w:color="auto"/>
        <w:bottom w:val="none" w:sz="0" w:space="0" w:color="auto"/>
        <w:right w:val="none" w:sz="0" w:space="0" w:color="auto"/>
      </w:divBdr>
      <w:divsChild>
        <w:div w:id="425342898">
          <w:marLeft w:val="300"/>
          <w:marRight w:val="0"/>
          <w:marTop w:val="120"/>
          <w:marBottom w:val="120"/>
          <w:divBdr>
            <w:top w:val="none" w:sz="0" w:space="0" w:color="auto"/>
            <w:left w:val="none" w:sz="0" w:space="0" w:color="auto"/>
            <w:bottom w:val="none" w:sz="0" w:space="0" w:color="auto"/>
            <w:right w:val="none" w:sz="0" w:space="0" w:color="auto"/>
          </w:divBdr>
        </w:div>
        <w:div w:id="861866063">
          <w:blockQuote w:val="1"/>
          <w:marLeft w:val="720"/>
          <w:marRight w:val="720"/>
          <w:marTop w:val="100"/>
          <w:marBottom w:val="324"/>
          <w:divBdr>
            <w:top w:val="none" w:sz="0" w:space="0" w:color="auto"/>
            <w:left w:val="none" w:sz="0" w:space="0" w:color="auto"/>
            <w:bottom w:val="none" w:sz="0" w:space="0" w:color="auto"/>
            <w:right w:val="none" w:sz="0" w:space="0" w:color="auto"/>
          </w:divBdr>
        </w:div>
        <w:div w:id="826093261">
          <w:marLeft w:val="300"/>
          <w:marRight w:val="0"/>
          <w:marTop w:val="0"/>
          <w:marBottom w:val="285"/>
          <w:divBdr>
            <w:top w:val="none" w:sz="0" w:space="0" w:color="auto"/>
            <w:left w:val="none" w:sz="0" w:space="0" w:color="auto"/>
            <w:bottom w:val="none" w:sz="0" w:space="0" w:color="auto"/>
            <w:right w:val="none" w:sz="0" w:space="0" w:color="auto"/>
          </w:divBdr>
          <w:divsChild>
            <w:div w:id="138944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3103">
      <w:bodyDiv w:val="1"/>
      <w:marLeft w:val="0"/>
      <w:marRight w:val="0"/>
      <w:marTop w:val="0"/>
      <w:marBottom w:val="0"/>
      <w:divBdr>
        <w:top w:val="none" w:sz="0" w:space="0" w:color="auto"/>
        <w:left w:val="none" w:sz="0" w:space="0" w:color="auto"/>
        <w:bottom w:val="none" w:sz="0" w:space="0" w:color="auto"/>
        <w:right w:val="none" w:sz="0" w:space="0" w:color="auto"/>
      </w:divBdr>
    </w:div>
    <w:div w:id="210345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8550/arXiv.2505.02635" TargetMode="External"/><Relationship Id="rId3" Type="http://schemas.openxmlformats.org/officeDocument/2006/relationships/settings" Target="settings.xml"/><Relationship Id="rId7" Type="http://schemas.openxmlformats.org/officeDocument/2006/relationships/hyperlink" Target="https://doi.org/10.32782/2786-8141/2025-1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2782/2311-844X/2023-1-12" TargetMode="External"/><Relationship Id="rId11" Type="http://schemas.openxmlformats.org/officeDocument/2006/relationships/theme" Target="theme/theme1.xml"/><Relationship Id="rId5" Type="http://schemas.openxmlformats.org/officeDocument/2006/relationships/hyperlink" Target="https://orcid.org/0000-0001-7580-381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iopa.europa.eu/eiopa-publishes-research-paper-insurers-contrarian-investments-mutual-funds-2025-06-25_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961</Words>
  <Characters>5481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Admin</cp:lastModifiedBy>
  <cp:revision>3</cp:revision>
  <dcterms:created xsi:type="dcterms:W3CDTF">2025-10-07T12:24:00Z</dcterms:created>
  <dcterms:modified xsi:type="dcterms:W3CDTF">2025-10-07T12:42:00Z</dcterms:modified>
</cp:coreProperties>
</file>