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13" w:rsidRPr="001B4F9D" w:rsidRDefault="00F80913" w:rsidP="00F809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Гордієнко Микола Іванович</w:t>
      </w:r>
    </w:p>
    <w:p w:rsidR="00F80913" w:rsidRPr="001B4F9D" w:rsidRDefault="00F80913" w:rsidP="00F809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к.е.н</w:t>
      </w:r>
      <w:proofErr w:type="spellEnd"/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., професор</w:t>
      </w:r>
    </w:p>
    <w:p w:rsidR="005A7653" w:rsidRPr="001B4F9D" w:rsidRDefault="005A7653" w:rsidP="005B46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Устименко Юлія Сергіївна</w:t>
      </w:r>
    </w:p>
    <w:p w:rsidR="005A7653" w:rsidRDefault="005A7653" w:rsidP="005B46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 xml:space="preserve">здобувач вищої освіти, спеціальність </w:t>
      </w:r>
      <w:r w:rsidR="007E3F86">
        <w:rPr>
          <w:rFonts w:ascii="Times New Roman" w:hAnsi="Times New Roman"/>
          <w:color w:val="000000"/>
          <w:sz w:val="28"/>
          <w:szCs w:val="28"/>
          <w:lang w:val="uk-UA"/>
        </w:rPr>
        <w:t xml:space="preserve">071 </w:t>
      </w: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«Облік і оподаткування</w:t>
      </w:r>
      <w:r w:rsidR="007E3F8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5A7653" w:rsidRPr="001B4F9D" w:rsidRDefault="005A7653" w:rsidP="005B46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Сумський національний аграрний університет</w:t>
      </w:r>
    </w:p>
    <w:p w:rsidR="005A7653" w:rsidRPr="001B4F9D" w:rsidRDefault="005A7653" w:rsidP="005B4613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F9D">
        <w:rPr>
          <w:rFonts w:ascii="Times New Roman" w:hAnsi="Times New Roman"/>
          <w:color w:val="000000"/>
          <w:sz w:val="28"/>
          <w:szCs w:val="28"/>
          <w:lang w:val="uk-UA"/>
        </w:rPr>
        <w:t>м. Суми, Україна</w:t>
      </w:r>
    </w:p>
    <w:p w:rsidR="005A7653" w:rsidRPr="001B4F9D" w:rsidRDefault="005A7653" w:rsidP="005B461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1B4F9D">
        <w:rPr>
          <w:rStyle w:val="a4"/>
          <w:rFonts w:ascii="Times New Roman" w:hAnsi="Times New Roman"/>
          <w:b w:val="0"/>
          <w:sz w:val="28"/>
          <w:szCs w:val="28"/>
          <w:lang w:val="uk-UA"/>
        </w:rPr>
        <w:t>ORCID:</w:t>
      </w:r>
      <w:r w:rsidRPr="001B4F9D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hyperlink r:id="rId6" w:tgtFrame="_blank" w:history="1">
        <w:r w:rsidRPr="001B4F9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uk-UA" w:eastAsia="ru-RU"/>
          </w:rPr>
          <w:t>https://orcid.org/my-orcid?orcid=0000-0001-7524-8893</w:t>
        </w:r>
      </w:hyperlink>
    </w:p>
    <w:p w:rsidR="0028076D" w:rsidRDefault="0028076D" w:rsidP="005B46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7653" w:rsidRPr="001B4F9D" w:rsidRDefault="005A7653" w:rsidP="005B46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4F9D">
        <w:rPr>
          <w:rFonts w:ascii="Times New Roman" w:hAnsi="Times New Roman"/>
          <w:b/>
          <w:sz w:val="28"/>
          <w:szCs w:val="28"/>
          <w:lang w:val="uk-UA"/>
        </w:rPr>
        <w:t>ГАЛУЗЕВІ ОСОБЛИВОСТІ ОБЛІКУ ПІДПРИЄМСТВ ГРОМАДСЬКОГО ХАРЧУВАННЯ</w:t>
      </w:r>
    </w:p>
    <w:p w:rsidR="005A7653" w:rsidRPr="001B4F9D" w:rsidRDefault="001D1B75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Громадське харчування -</w:t>
      </w:r>
      <w:r w:rsidR="005A765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різновид торговельно-виробничої діяльності із забезпечення н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аселення харчуванням. До підпри</w:t>
      </w:r>
      <w:r w:rsidR="005A765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ємств громадського харчування н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алежать ресторани, бари, кав'яр</w:t>
      </w:r>
      <w:r w:rsidR="005A765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ні, кафе, їдальні, магазини кулі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нарії, фабрики-кухні, </w:t>
      </w:r>
      <w:proofErr w:type="spellStart"/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дрібнороз</w:t>
      </w:r>
      <w:r w:rsidR="005A765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дрібна</w:t>
      </w:r>
      <w:proofErr w:type="spellEnd"/>
      <w:r w:rsidR="005A765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мережа тощо.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Головною особливістю фінансово-господарської діяльності закладів громадського харчуван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 є те, що вона поєднує елемен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ти виробництва і торгівлі. Під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час виготовлення власної продук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ції (напівфабрикатів, кондите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рських виробів, продуктів харчу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вання) водночас відбувається реалізація їх (торгівля) разом із придбаними на стороні товарами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Продукція, яку реалізують під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приємства громадського харчування, може в них повністю виготовлятися, проходити часткове кулінарне оброблення або зовсім не піддаватися обробленню. П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родукти харчування, які не прой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шли гарячої або холодної техн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ологічної обробки, називають ку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півельними товарами, а ті, що виготовлені із сировини і пі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длягали технологічній обробці -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продукцією власного виробництва.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кожному підрозділі підприємства громадського харчування створюють бригади матеріально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відповідальних осіб, тому об'єк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том бухгалтерського обліку є ва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ртість сировини, продуктів і то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варів, облік яких здійснюють 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кремо за кожною матеріально від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повідальною особою в натуральних і грошових вимірниках.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Діяльність підприємств громадського харчування складається із трьох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взаємопов’язаних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проц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есів: заготівля сировини для ви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роблення готової продукції, виро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блення готової продукції, реалі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зація готової продукції. Вироблення готової продукції передбачає приготування окремих страв, кондитерських виробів тощо.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 час надходження товарі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і продуктів у комори підприєм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ства громадського харчування їхню оцінку й облік здійснюють аналогічно до надходження тов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арів на склади торговельних під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приємств роздрібної торгівлі.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Масу, обсяг і кількість одержаних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постачальника продук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тів і товарів встановлюють шляхом зважування, обміру і перерахунку. За неможливості зважування продуктів без тари або коли відкриття тари спричинює зіпсування їх, масу нетто визначають вирахуванням із брутто маси тари за трафаретом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тарі. Фактич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ну масу тари перевіряють після її відкриття.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Підприємствам громадського харчування доцільно вести облік транспортно-заготівельних в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итрат на окремому рахунку із по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дальшим розподілом між реалізованими товарами та залишком їх на складі.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Оцінка за методом ціни продажу ґрунтується на застосуванні підприємствами роздрібної торгівлі й громадського харчування середнього відсотка торговельної націнки на товари (націнки громадського харчування). Тор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гова націнка в громадському хар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чуванні складається із торговельної націнки товарів, націнки і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податку на додану вартість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громадського харчування.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Підприємство громадського харчування розробляє асортимент (перелік) страв, виробів, напоїв,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які готують у суворій відповід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ності до рецептур, наведених у відповідних збірниках приготування їжі і напоїв. Порядок при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готування продукції, крім рецеп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тур, також регулюється санітарними правилами.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Завідувач виробництва щоденно складає план-меню, що є планом роботи кухні підприємства на день. План-меню містить перелік та кількість страв, їхню характеристику (норму виходу) і заміни окремих неосновних компонентів сировини. План-меню складають в одному примірник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у, його підписують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керівник під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приємства і завідувач виробництва.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підставі Плану-меню завідувач виробництва розраховує необхідну кількість сировини й в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иписує Вимогу в комору, яку піс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ля затвердження керівником передають комірнику. Комірник за даними Вимоги готує товарно-матеріальні цінності й на підставі накладної передає їх на виробництво. Відпуск товарів у буфети та в </w:t>
      </w:r>
      <w:proofErr w:type="spellStart"/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дрібнороздрібну</w:t>
      </w:r>
      <w:proofErr w:type="spellEnd"/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мережу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оформляють накладною. Наприкін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 робочого дня всі прибуткові й видаткові документи групують у відповідній частині товарного звіту.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Відпуск продуктів у виробництво (на кухню) здійснюють у межах добової потреби, що від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повідає Плану-меню, із врахуван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ням залишків на кухні. Продукти при цьому передають із підзвіту комірника в підзвіт завідувача виробництва.</w:t>
      </w:r>
    </w:p>
    <w:p w:rsidR="005A7653" w:rsidRPr="001B4F9D" w:rsidRDefault="005A7653" w:rsidP="005B4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Особливістю обліку виро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бництва на підприємствах громад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ського харчування є те, що надхо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дження продуктів і товарів опри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бутковують за вагою необробленої сировини (брутто), а списання здійснюють за обліковими даними випуску й реалізації готових страв, виробів, напівфабрикатів.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Вартість витраченої сировини визначають на підставі норм за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 xml:space="preserve">кладеної сировини згідно із рецептурами, кількістю переданих страв і виробів. Норми витрат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сировини на виготовлення продук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ції, якщо вони не визначені в с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амій рецептурі, мають бути наве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дені у вступній частині відповідного розділу збірника рецептур.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Оцінка за нормативними затратами полягає у застосуванні норм витрат (зокрема й товарів)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одиницю продукції (робіт, по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слуг), встановлених підприємством з огляду на нормальні рівні використання запасів, праці, виробничих потужностей і діючих цін. Для забезпечення максимального наближення нормативних витрат до фактичних норми і ці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ни в нормативній базі слід регу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лярно перевіряти й переглядати. Такий метод оцінки доцільно використовувати на підприємствах громадського харчування в разі списання вартості продуктів на витрати приготування страв.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Калькулювання на підприємствах громадсь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кого харчування -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обчислення ціни страви. Ці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на, відображена у калькуляції, -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це роздрібна ціна підприємст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 громадського харчування (про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дажна ціна), яка складається із вартості сировинного набору й націнки громадського харчування, яку встановлюють залежно від категорії підприємства 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відсотках до роздрібної серед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ньозваженої ціни. Калькулювання здійснюють у Калькуляційній картці. Кожну Картку реєструють в окремому журналі.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Щодня завідувач виробництва складає Звіт про рух продуктів і тари на кухні, в якому документи групуються за надходженням продуктів і реалізацією продукції.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Витрати, пов'язані із виготов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ленням продукції власного вироб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ництва, відображають на рахунку 23 «Виробництво» за статтями витрат: прямі матеріальні витрати, прямі витрати на оплату праці, інші прямі витрати. Сировина і продукти, що використовують для приготування їжі, під час н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адходження на підприємство облі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ковують на рахунку 20 «Виробничі запаси»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а в разі використання у вироб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ництві списують на рахунок 23 за статтею «Прямі матеріа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льні ви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трати». До статті «Прямі витрати на оплату праці», зокрема, відносять суми нарахованої заробітної плати кухарів і відповідних відрахувань тощо. Наприкінці звітно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 періоду собівартість виготов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леної готової продукції списують у дебет рахунка 26 «Го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това про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дукція»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а після реалізації продукції - у дебет субрахунку 901 «Со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бівартість реалізованої готової продукції» з кредиту рахунка 26.</w:t>
      </w:r>
    </w:p>
    <w:p w:rsidR="005A7653" w:rsidRPr="001B4F9D" w:rsidRDefault="005A7653" w:rsidP="005B46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Відпуск готової продукції з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виробництва в реалізацію оформ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ляють денними забірними листами, накладними, а в разі відпуску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готової пр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одукції стороннім організаціям -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накладними на відпуск на сторону.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бухгалтерському обліку реалізацію товарів відображають окремо від реалізації продуктів власного виробництва.</w:t>
      </w:r>
      <w:r w:rsidR="00F809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Вартість товарів, реалізованих споживачам без обробки, облі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ють на рахунку 28 і списують після реалізації у дебет рахунка 902.</w:t>
      </w:r>
      <w:r w:rsidR="0028076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Інші витрати й доходи на п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ідприємствах громадського харчу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вання відображають в обліку з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методикою, аналогічною до зас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тосовуваної у роздрібній торгівлі.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Інформацію про обсяг реалізовани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х покупцям кулінарних ви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робів власного виробництва і п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ридбаних товарів за місяць нако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пичують у реєстрі товарообі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гу, у якому щоденно фіксують за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гальну суму виручки від реалізації із суми звіту за касою.</w:t>
      </w:r>
    </w:p>
    <w:p w:rsidR="005A7653" w:rsidRPr="001B4F9D" w:rsidRDefault="005A765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громадському харчуванні використовують також інші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варі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анти обліку товарів і продукції власного виробництва.</w:t>
      </w:r>
      <w:r w:rsidR="00F809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іншою методикою, зокр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ема за дебетом рахунка 28 «Това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ри» відображають не лише поку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пні товари, а й сировина, що ви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користовується для приготування їжі. Після реалізації готових страв вартість використаної для</w:t>
      </w:r>
      <w:r w:rsidR="001D1B75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їх виготовлення сировини спису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 з кредиту рахунка 28 у дебет субрахунку 902 «Собівартість реалізованих товарів». Інші витрати підприємства громадського харчування відносять відповідно на рахунки 92 «Адміністративні витрати» та 93 «Витрати на збут».</w:t>
      </w:r>
    </w:p>
    <w:p w:rsidR="001D1B75" w:rsidRPr="001B4F9D" w:rsidRDefault="001D1B75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Таким чином, нами на підставі діючих </w:t>
      </w:r>
      <w:r w:rsidR="007E3F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законодавчих та </w:t>
      </w:r>
      <w:r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нормативних </w:t>
      </w:r>
      <w:r w:rsidR="007E3F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актів </w:t>
      </w:r>
      <w:r w:rsidR="005B4613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організації та ведення бухгалтерського обліку, а також документального оформлення розкрито галузеві особливості обліку на підприємствах громадського харчування в сучасних умовах.</w:t>
      </w:r>
    </w:p>
    <w:p w:rsidR="005B4613" w:rsidRPr="001B4F9D" w:rsidRDefault="005B461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B4613" w:rsidRPr="001B4F9D" w:rsidRDefault="005B4613" w:rsidP="005B46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B4F9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Література</w:t>
      </w:r>
    </w:p>
    <w:p w:rsidR="00D21EA1" w:rsidRPr="00F80913" w:rsidRDefault="001B4F9D" w:rsidP="00D21E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1. </w:t>
      </w:r>
      <w:r w:rsidR="00D21EA1"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Про бухгалтерський облік та фінансову звітність в Україні: Закон України №996-XIV від 16 липня 1999 року (у редакції Закону №2435-IX від10 серпня 2022 року). / Верховна Рада України. URL: </w:t>
      </w:r>
      <w:hyperlink r:id="rId7" w:anchor="Text" w:history="1">
        <w:r w:rsidR="00D21EA1" w:rsidRPr="00F80913"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https://zakon.rada.gov.ua/laws/show/996-14#Text</w:t>
        </w:r>
      </w:hyperlink>
      <w:r w:rsidR="00D21EA1"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1B4F9D" w:rsidRPr="00F80913" w:rsidRDefault="001B4F9D" w:rsidP="001B4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2. </w:t>
      </w:r>
      <w:r w:rsidR="0065019E"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організацій: наказ Міністерства фінансів України №291 від 30 листопада 1999 року (у редакції наказу№1591 від 09 грудня 2021 року). / Міністерство фінансів України. URL: </w:t>
      </w:r>
      <w:hyperlink r:id="rId8" w:anchor="Text" w:history="1">
        <w:r w:rsidR="0065019E" w:rsidRPr="00F80913"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https://zakon.rada.gov.ua/laws/show/z1557-11#Text</w:t>
        </w:r>
      </w:hyperlink>
      <w:r w:rsidR="0065019E"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1B4F9D" w:rsidRPr="00F80913" w:rsidRDefault="001B4F9D" w:rsidP="001B4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80913">
        <w:rPr>
          <w:rFonts w:ascii="Times New Roman" w:hAnsi="Times New Roman"/>
          <w:sz w:val="24"/>
          <w:szCs w:val="24"/>
          <w:lang w:val="uk-UA"/>
        </w:rPr>
        <w:t xml:space="preserve">3. Методичні рекомендації щодо впровадження </w:t>
      </w:r>
      <w:r w:rsidR="007E3F86" w:rsidRPr="00F80913">
        <w:rPr>
          <w:rFonts w:ascii="Times New Roman" w:hAnsi="Times New Roman"/>
          <w:sz w:val="24"/>
          <w:szCs w:val="24"/>
          <w:lang w:val="uk-UA"/>
        </w:rPr>
        <w:t>Н</w:t>
      </w:r>
      <w:r w:rsidRPr="00F80913">
        <w:rPr>
          <w:rFonts w:ascii="Times New Roman" w:hAnsi="Times New Roman"/>
          <w:sz w:val="24"/>
          <w:szCs w:val="24"/>
          <w:lang w:val="uk-UA"/>
        </w:rPr>
        <w:t xml:space="preserve">аціональних положень (стандартів) бухгалтерського обліку у сфері громадського харчування і побутових послуг, гармонізованих з міжнародними стандартами: наказ Міністерства економіки та з питань європейської інтеграції України №157 від 17 червня 2003 року. / Міністерство економіки та з питань європейської інтеграції України. </w:t>
      </w:r>
      <w:r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URL:</w:t>
      </w:r>
      <w:r w:rsidRPr="00F8091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9" w:history="1">
        <w:r w:rsidRPr="00F80913"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https://ips.ligazakon.net/document/ME03298</w:t>
        </w:r>
      </w:hyperlink>
      <w:r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D21EA1" w:rsidRPr="001B4F9D" w:rsidRDefault="001B4F9D" w:rsidP="00D21E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4. </w:t>
      </w:r>
      <w:r w:rsidR="0065019E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аціональн</w:t>
      </w:r>
      <w:r w:rsidR="007E3F86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 положення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E3F86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стандарт</w:t>
      </w:r>
      <w:r w:rsidR="0065019E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="007E3F86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)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бухгалтерського обліку і звітності</w:t>
      </w:r>
      <w:r w:rsidR="0065019E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[</w:t>
      </w:r>
      <w:r w:rsidR="0065019E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Текст</w:t>
      </w:r>
      <w:r w:rsidR="00D21EA1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]</w:t>
      </w:r>
      <w:r w:rsidR="0065019E" w:rsidRPr="00F8091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  <w:r w:rsidR="0065019E" w:rsidRPr="00F80913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URL: </w:t>
      </w:r>
      <w:hyperlink r:id="rId10" w:history="1">
        <w:r w:rsidR="0065019E" w:rsidRPr="00F80913">
          <w:rPr>
            <w:rStyle w:val="a3"/>
            <w:rFonts w:ascii="Times New Roman" w:eastAsia="Times New Roman" w:hAnsi="Times New Roman"/>
            <w:sz w:val="24"/>
            <w:szCs w:val="24"/>
            <w:lang w:val="uk-UA" w:eastAsia="ru-RU"/>
          </w:rPr>
          <w:t>https://ips.ligazakon.net/document/SH000099</w:t>
        </w:r>
      </w:hyperlink>
      <w:r w:rsidR="0065019E" w:rsidRPr="001B4F9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sectPr w:rsidR="00D21EA1" w:rsidRPr="001B4F9D" w:rsidSect="0028076D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913" w:rsidRDefault="00F80913" w:rsidP="00F80913">
      <w:pPr>
        <w:spacing w:after="0" w:line="240" w:lineRule="auto"/>
      </w:pPr>
      <w:r>
        <w:separator/>
      </w:r>
    </w:p>
  </w:endnote>
  <w:endnote w:type="continuationSeparator" w:id="1">
    <w:p w:rsidR="00F80913" w:rsidRDefault="00F80913" w:rsidP="00F8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913" w:rsidRDefault="00F80913" w:rsidP="00F80913">
      <w:pPr>
        <w:spacing w:after="0" w:line="240" w:lineRule="auto"/>
      </w:pPr>
      <w:r>
        <w:separator/>
      </w:r>
    </w:p>
  </w:footnote>
  <w:footnote w:type="continuationSeparator" w:id="1">
    <w:p w:rsidR="00F80913" w:rsidRDefault="00F80913" w:rsidP="00F8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79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80913" w:rsidRPr="00F80913" w:rsidRDefault="00F80913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F80913">
          <w:rPr>
            <w:rFonts w:ascii="Times New Roman" w:hAnsi="Times New Roman"/>
            <w:sz w:val="24"/>
            <w:szCs w:val="24"/>
          </w:rPr>
          <w:fldChar w:fldCharType="begin"/>
        </w:r>
        <w:r w:rsidRPr="00F8091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913">
          <w:rPr>
            <w:rFonts w:ascii="Times New Roman" w:hAnsi="Times New Roman"/>
            <w:sz w:val="24"/>
            <w:szCs w:val="24"/>
          </w:rPr>
          <w:fldChar w:fldCharType="separate"/>
        </w:r>
        <w:r w:rsidR="0028076D">
          <w:rPr>
            <w:rFonts w:ascii="Times New Roman" w:hAnsi="Times New Roman"/>
            <w:noProof/>
            <w:sz w:val="24"/>
            <w:szCs w:val="24"/>
          </w:rPr>
          <w:t>5</w:t>
        </w:r>
        <w:r w:rsidRPr="00F809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80913" w:rsidRDefault="00F809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53"/>
    <w:rsid w:val="00137C2E"/>
    <w:rsid w:val="001829F0"/>
    <w:rsid w:val="001B4F9D"/>
    <w:rsid w:val="001B6E43"/>
    <w:rsid w:val="001D1B75"/>
    <w:rsid w:val="001D233A"/>
    <w:rsid w:val="002723F2"/>
    <w:rsid w:val="0028076D"/>
    <w:rsid w:val="00317AE2"/>
    <w:rsid w:val="003B78DC"/>
    <w:rsid w:val="003E4461"/>
    <w:rsid w:val="005A7653"/>
    <w:rsid w:val="005B4613"/>
    <w:rsid w:val="0065019E"/>
    <w:rsid w:val="007802B2"/>
    <w:rsid w:val="007E3F86"/>
    <w:rsid w:val="00D21EA1"/>
    <w:rsid w:val="00DE3C95"/>
    <w:rsid w:val="00F8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53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2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A7653"/>
    <w:rPr>
      <w:b/>
      <w:bCs/>
    </w:rPr>
  </w:style>
  <w:style w:type="paragraph" w:customStyle="1" w:styleId="rvps17">
    <w:name w:val="rvps17"/>
    <w:basedOn w:val="a"/>
    <w:rsid w:val="00D21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D21EA1"/>
  </w:style>
  <w:style w:type="paragraph" w:customStyle="1" w:styleId="rvps6">
    <w:name w:val="rvps6"/>
    <w:basedOn w:val="a"/>
    <w:rsid w:val="00D21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21EA1"/>
  </w:style>
  <w:style w:type="character" w:customStyle="1" w:styleId="rvts44">
    <w:name w:val="rvts44"/>
    <w:basedOn w:val="a0"/>
    <w:rsid w:val="00D21EA1"/>
  </w:style>
  <w:style w:type="character" w:customStyle="1" w:styleId="dat0">
    <w:name w:val="dat0"/>
    <w:basedOn w:val="a0"/>
    <w:rsid w:val="00D21EA1"/>
  </w:style>
  <w:style w:type="character" w:customStyle="1" w:styleId="20">
    <w:name w:val="Заголовок 2 Знак"/>
    <w:basedOn w:val="a0"/>
    <w:link w:val="2"/>
    <w:uiPriority w:val="9"/>
    <w:rsid w:val="00D21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1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4F9D"/>
    <w:pPr>
      <w:ind w:left="720"/>
      <w:contextualSpacing/>
    </w:pPr>
  </w:style>
  <w:style w:type="paragraph" w:customStyle="1" w:styleId="tc">
    <w:name w:val="tc"/>
    <w:basedOn w:val="a"/>
    <w:rsid w:val="001B4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4">
    <w:name w:val="fs4"/>
    <w:basedOn w:val="a0"/>
    <w:rsid w:val="001B4F9D"/>
  </w:style>
  <w:style w:type="paragraph" w:styleId="a6">
    <w:name w:val="header"/>
    <w:basedOn w:val="a"/>
    <w:link w:val="a7"/>
    <w:uiPriority w:val="99"/>
    <w:unhideWhenUsed/>
    <w:rsid w:val="00F8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9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8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09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57-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6-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my-orcid?orcid=0000-0001-7524-889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ps.ligazakon.net/document/SH0000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ps.ligazakon.net/document/ME03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снау</cp:lastModifiedBy>
  <cp:revision>7</cp:revision>
  <dcterms:created xsi:type="dcterms:W3CDTF">2023-05-01T09:06:00Z</dcterms:created>
  <dcterms:modified xsi:type="dcterms:W3CDTF">2023-05-03T09:12:00Z</dcterms:modified>
</cp:coreProperties>
</file>