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01" w:rsidRPr="00C56C87" w:rsidRDefault="00D43105" w:rsidP="00D43105">
      <w:pPr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</w:pP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>УДК</w:t>
      </w:r>
      <w:r w:rsidRPr="00C56C87">
        <w:rPr>
          <w:color w:val="1F3864" w:themeColor="accent1" w:themeShade="80"/>
        </w:rPr>
        <w:t xml:space="preserve"> </w:t>
      </w:r>
      <w:r w:rsidR="00792013" w:rsidRPr="00C56C87">
        <w:rPr>
          <w:color w:val="1F3864" w:themeColor="accent1" w:themeShade="80"/>
        </w:rPr>
        <w:t xml:space="preserve"> 621.317.39 </w:t>
      </w:r>
    </w:p>
    <w:p w:rsidR="00D43105" w:rsidRPr="00C56C87" w:rsidRDefault="00D43105" w:rsidP="00D43105">
      <w:pPr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</w:pP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>ЄМНІСНІ ПЕРЕТВОРЮВАЧІ</w:t>
      </w:r>
    </w:p>
    <w:p w:rsidR="00D43105" w:rsidRPr="00C56C87" w:rsidRDefault="00D43105" w:rsidP="00D43105">
      <w:pPr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</w:pP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 xml:space="preserve">Голубєв В.А.,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>Защепкіна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 xml:space="preserve"> Н.М.</w:t>
      </w:r>
    </w:p>
    <w:p w:rsidR="00D43105" w:rsidRPr="00C56C87" w:rsidRDefault="00D43105" w:rsidP="00D43105">
      <w:pPr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</w:pP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>Національний технічний університет України «Київський політехнічний інститут імені Ігоря Сікорського»</w:t>
      </w:r>
    </w:p>
    <w:p w:rsidR="00B2677E" w:rsidRPr="00C56C87" w:rsidRDefault="00006BA3" w:rsidP="0016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</w:pPr>
      <w:r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val="uk-UA"/>
        </w:rPr>
        <w:t>Процеси глобалізації, інформаційна революція, створення світових інформаційних мереж – ось картина сучасного світу. Розвиток науки і техніки призводить до прогресу і в області вимірювальної техніки, що дозволяє встановлювати залежності , які відображають об</w:t>
      </w:r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val="uk-UA"/>
        </w:rPr>
        <w:t>’</w:t>
      </w:r>
      <w:r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val="uk-UA"/>
        </w:rPr>
        <w:t>єктивні закони природи</w:t>
      </w:r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val="uk-UA"/>
        </w:rPr>
        <w:t>. Але будь-яке відкриття неможливе без попереднього дослідження, а значить, без вимірювань.</w:t>
      </w:r>
      <w:r w:rsidR="00BC1EA5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val="uk-UA"/>
        </w:rPr>
        <w:t xml:space="preserve"> </w:t>
      </w:r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val="uk-UA"/>
        </w:rPr>
        <w:t xml:space="preserve">З кожним роком кількість сучасних автоматичних приладів, які поліпшують життя, </w:t>
      </w:r>
      <w:proofErr w:type="spellStart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val="uk-UA"/>
        </w:rPr>
        <w:t>сприяюить</w:t>
      </w:r>
      <w:proofErr w:type="spellEnd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val="uk-UA"/>
        </w:rPr>
        <w:t xml:space="preserve"> підвищенню продуктивності продуктів </w:t>
      </w:r>
      <w:proofErr w:type="spellStart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val="uk-UA"/>
        </w:rPr>
        <w:t>варобництв</w:t>
      </w:r>
      <w:proofErr w:type="spellEnd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val="uk-UA"/>
        </w:rPr>
        <w:t>,   зростає.</w:t>
      </w:r>
      <w:r w:rsidR="00BC1EA5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val="uk-UA"/>
        </w:rPr>
        <w:t xml:space="preserve"> </w:t>
      </w:r>
      <w:proofErr w:type="spellStart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>Використання</w:t>
      </w:r>
      <w:proofErr w:type="spellEnd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>вимірювальн</w:t>
      </w:r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val="uk-UA"/>
        </w:rPr>
        <w:t>их</w:t>
      </w:r>
      <w:proofErr w:type="spellEnd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>приладів</w:t>
      </w:r>
      <w:proofErr w:type="spellEnd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>набуває</w:t>
      </w:r>
      <w:proofErr w:type="spellEnd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 xml:space="preserve"> все </w:t>
      </w:r>
      <w:proofErr w:type="spellStart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>більшого</w:t>
      </w:r>
      <w:proofErr w:type="spellEnd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>значення</w:t>
      </w:r>
      <w:proofErr w:type="spellEnd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>із</w:t>
      </w:r>
      <w:proofErr w:type="spellEnd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 xml:space="preserve">-за </w:t>
      </w:r>
      <w:proofErr w:type="spellStart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>можливості</w:t>
      </w:r>
      <w:proofErr w:type="spellEnd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>обробки</w:t>
      </w:r>
      <w:proofErr w:type="spellEnd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 xml:space="preserve"> ними </w:t>
      </w:r>
      <w:proofErr w:type="gramStart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val="uk-UA"/>
        </w:rPr>
        <w:t xml:space="preserve">більше </w:t>
      </w:r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>двохсот</w:t>
      </w:r>
      <w:proofErr w:type="spellEnd"/>
      <w:proofErr w:type="gramEnd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>різних</w:t>
      </w:r>
      <w:proofErr w:type="spellEnd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>фізичних</w:t>
      </w:r>
      <w:proofErr w:type="spellEnd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 xml:space="preserve"> величин </w:t>
      </w:r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val="uk-UA"/>
        </w:rPr>
        <w:t xml:space="preserve">в реальному часі та </w:t>
      </w:r>
      <w:proofErr w:type="spellStart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>перетворювати</w:t>
      </w:r>
      <w:proofErr w:type="spellEnd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>їх</w:t>
      </w:r>
      <w:proofErr w:type="spellEnd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 xml:space="preserve"> на </w:t>
      </w:r>
      <w:proofErr w:type="spellStart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>електричні</w:t>
      </w:r>
      <w:proofErr w:type="spellEnd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>величини</w:t>
      </w:r>
      <w:proofErr w:type="spellEnd"/>
      <w:r w:rsidR="00B2677E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 xml:space="preserve">. </w:t>
      </w:r>
    </w:p>
    <w:p w:rsidR="00B2677E" w:rsidRPr="00C56C87" w:rsidRDefault="00B2677E" w:rsidP="0016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val="uk-UA"/>
        </w:rPr>
      </w:pPr>
      <w:r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val="uk-UA"/>
        </w:rPr>
        <w:t xml:space="preserve">Сучасна інформаційно-вимірювальна техніка у своєму розпорядженні засобами вимірювання містить близько двохсот різних фізичних величин – електричні, магнітні, теплові, акустичні, механічні тощо. Більша частина цих величин в процесі вимірювання перетворюються в електричні величини, які є більш зручніші для передачі, підсилення, математичної обробки і точного вимірювання. Тому в сучасній вимірювальні техніці знаходять широке застосування перетворювачі різного роду </w:t>
      </w:r>
      <w:r w:rsidR="00C56C87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val="uk-UA"/>
        </w:rPr>
        <w:t>фізичних величин в електричні</w:t>
      </w:r>
      <w:r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val="uk-UA"/>
        </w:rPr>
        <w:t>.</w:t>
      </w:r>
    </w:p>
    <w:p w:rsidR="00C56C87" w:rsidRPr="00C56C87" w:rsidRDefault="0021434D" w:rsidP="007E023E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</w:pP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 xml:space="preserve">Первинний вимірювальний перетворювач (сенсор) </w:t>
      </w:r>
      <w:r w:rsidR="00BC1EA5"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>– перший елемент</w:t>
      </w: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>, від його точності, чутливості, швидкодії, стійкості до зовнішніх завад, стабільності в значній мірі залежить повнота та достовірність інформації про стан вимірюваних параметрів об’єктів та процесів.</w:t>
      </w:r>
    </w:p>
    <w:p w:rsidR="00C56C87" w:rsidRPr="00C56C87" w:rsidRDefault="00BC1EA5" w:rsidP="007E023E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</w:pP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 xml:space="preserve"> </w:t>
      </w:r>
      <w:r w:rsidRPr="00C56C87">
        <w:rPr>
          <w:rFonts w:ascii="Times New Roman" w:hAnsi="Times New Roman" w:cs="Times New Roman"/>
          <w:color w:val="1F3864" w:themeColor="accent1" w:themeShade="80"/>
          <w:spacing w:val="-4"/>
          <w:sz w:val="28"/>
          <w:szCs w:val="28"/>
          <w:lang w:val="uk-UA"/>
        </w:rPr>
        <w:t>Ємнісні первинні перетворювачі вимірювання діелект</w:t>
      </w:r>
      <w:r w:rsidRPr="00C56C87">
        <w:rPr>
          <w:rFonts w:ascii="Times New Roman" w:hAnsi="Times New Roman" w:cs="Times New Roman"/>
          <w:color w:val="1F3864" w:themeColor="accent1" w:themeShade="80"/>
          <w:spacing w:val="-4"/>
          <w:sz w:val="28"/>
          <w:szCs w:val="28"/>
          <w:lang w:val="uk-UA"/>
        </w:rPr>
        <w:softHyphen/>
        <w:t xml:space="preserve">ричної проникності широко застосовуються для вимірювання параметрів продукції сільського господарства, контролю та складу речовин та при виробництві широкого асортименту електротехнічних та будівельних матеріалів. Але під час експлуатації </w:t>
      </w: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 xml:space="preserve">ємнісних первинних вимірювальних перетворювачів діелектричної проникності (ЄВПДП) можуть виникати проблеми, які </w:t>
      </w:r>
      <w:r w:rsidR="00787CC3"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 xml:space="preserve">залежать від таких факторів, як вплив температури, неоднорідна структура сипучого матеріалу тощо, що може впливати на результат вимірювання. </w:t>
      </w:r>
    </w:p>
    <w:p w:rsidR="00C56C87" w:rsidRPr="00C56C87" w:rsidRDefault="00787CC3" w:rsidP="007E023E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</w:pP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>Підвищення точності вимірювання та вірогідність контролю діелектричної проникності матеріалів та речовин є актуальною задачею сьогодні.</w:t>
      </w:r>
      <w:r w:rsidR="00D83E7B"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 xml:space="preserve"> Для визначення ємності такого ємнісного первинного вимірювального перетворювача необхідно визначити еквівалентну діелектричну проникність неоднорідного сипкого середовища. </w:t>
      </w:r>
    </w:p>
    <w:p w:rsidR="00C56C87" w:rsidRPr="00C56C87" w:rsidRDefault="000D6A2E" w:rsidP="007E023E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>Застосовуємий</w:t>
      </w:r>
      <w:proofErr w:type="spellEnd"/>
      <w:r w:rsidR="00D83E7B"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 xml:space="preserve"> аналітичний метод визначення еквівале</w:t>
      </w:r>
      <w:r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>нтної діелектричної проникності дозволяю в</w:t>
      </w:r>
      <w:r w:rsidR="00D83E7B"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>изначи</w:t>
      </w:r>
      <w:r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>ти</w:t>
      </w:r>
      <w:r w:rsidR="00D83E7B"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 xml:space="preserve"> ємність між протилежними сторонами </w:t>
      </w:r>
      <w:r w:rsidR="00D83E7B"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lastRenderedPageBreak/>
        <w:t>елементарного куба, описаного навколо частинки сипкої речовини, яка представляє собою двошарову кульку.</w:t>
      </w:r>
    </w:p>
    <w:p w:rsidR="00C56C87" w:rsidRPr="00C56C87" w:rsidRDefault="00D83E7B" w:rsidP="007E023E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 xml:space="preserve">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Позначимо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зовнішній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радіус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оболонки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частинки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як </w:t>
      </w:r>
      <w:r w:rsidRPr="00C56C87">
        <w:rPr>
          <w:rFonts w:ascii="Times New Roman" w:hAnsi="Times New Roman" w:cs="Times New Roman"/>
          <w:i/>
          <w:color w:val="1F3864" w:themeColor="accent1" w:themeShade="80"/>
          <w:sz w:val="28"/>
          <w:szCs w:val="28"/>
        </w:rPr>
        <w:t>R</w:t>
      </w: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vertAlign w:val="subscript"/>
        </w:rPr>
        <w:t>0</w:t>
      </w: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,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внутрішній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радіус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ядра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частинки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- </w:t>
      </w:r>
      <w:proofErr w:type="spellStart"/>
      <w:r w:rsidRPr="00C56C87">
        <w:rPr>
          <w:rFonts w:ascii="Times New Roman" w:hAnsi="Times New Roman" w:cs="Times New Roman"/>
          <w:i/>
          <w:color w:val="1F3864" w:themeColor="accent1" w:themeShade="80"/>
          <w:sz w:val="28"/>
          <w:szCs w:val="28"/>
        </w:rPr>
        <w:t>R</w:t>
      </w:r>
      <w:r w:rsidRPr="00C56C87">
        <w:rPr>
          <w:rFonts w:ascii="Times New Roman" w:hAnsi="Times New Roman" w:cs="Times New Roman"/>
          <w:i/>
          <w:color w:val="1F3864" w:themeColor="accent1" w:themeShade="80"/>
          <w:sz w:val="28"/>
          <w:szCs w:val="28"/>
          <w:vertAlign w:val="subscript"/>
        </w:rPr>
        <w:t>n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. Нехай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середовище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, в яке внесена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діелектрична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частинка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,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має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відносну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діелектричну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проникливість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 w:rsidRPr="00C56C87">
        <w:rPr>
          <w:rFonts w:ascii="Times New Roman" w:hAnsi="Times New Roman" w:cs="Times New Roman"/>
          <w:i/>
          <w:color w:val="1F3864" w:themeColor="accent1" w:themeShade="80"/>
          <w:sz w:val="28"/>
          <w:szCs w:val="28"/>
        </w:rPr>
        <w:sym w:font="Symbol" w:char="F065"/>
      </w:r>
      <w:r w:rsidRPr="00C56C87">
        <w:rPr>
          <w:rFonts w:ascii="Times New Roman" w:hAnsi="Times New Roman" w:cs="Times New Roman"/>
          <w:i/>
          <w:color w:val="1F3864" w:themeColor="accent1" w:themeShade="80"/>
          <w:sz w:val="28"/>
          <w:szCs w:val="28"/>
          <w:vertAlign w:val="subscript"/>
        </w:rPr>
        <w:t>c</w:t>
      </w: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.</w:t>
      </w:r>
    </w:p>
    <w:p w:rsidR="007E023E" w:rsidRPr="00C56C87" w:rsidRDefault="00D83E7B" w:rsidP="007E023E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Відносні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діелектричні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проникливості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зовнішньої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оболонки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зернини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і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внутрішнього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ядра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частинки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позначимо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через </w:t>
      </w:r>
      <w:r w:rsidRPr="00C56C87">
        <w:rPr>
          <w:rFonts w:ascii="Times New Roman" w:hAnsi="Times New Roman" w:cs="Times New Roman"/>
          <w:i/>
          <w:color w:val="1F3864" w:themeColor="accent1" w:themeShade="80"/>
          <w:sz w:val="28"/>
          <w:szCs w:val="28"/>
        </w:rPr>
        <w:sym w:font="Symbol" w:char="F065"/>
      </w: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vertAlign w:val="subscript"/>
        </w:rPr>
        <w:t>0</w:t>
      </w: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та </w:t>
      </w:r>
      <w:r w:rsidRPr="00C56C87">
        <w:rPr>
          <w:rFonts w:ascii="Times New Roman" w:hAnsi="Times New Roman" w:cs="Times New Roman"/>
          <w:i/>
          <w:color w:val="1F3864" w:themeColor="accent1" w:themeShade="80"/>
          <w:sz w:val="28"/>
          <w:szCs w:val="28"/>
        </w:rPr>
        <w:sym w:font="Symbol" w:char="F065"/>
      </w: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vertAlign w:val="subscript"/>
        </w:rPr>
        <w:t>в</w:t>
      </w: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відповідно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(рис. 1).</w:t>
      </w:r>
    </w:p>
    <w:p w:rsidR="007E023E" w:rsidRPr="00C56C87" w:rsidRDefault="007E023E" w:rsidP="007E023E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:rsidR="00D83E7B" w:rsidRPr="00C56C87" w:rsidRDefault="00C56C87" w:rsidP="001662B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object w:dxaOrig="5244" w:dyaOrig="5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77.75pt" o:ole="">
            <v:imagedata r:id="rId5" o:title=""/>
          </v:shape>
          <o:OLEObject Type="Embed" ProgID="Visio.Drawing.6" ShapeID="_x0000_i1025" DrawAspect="Content" ObjectID="_1741008173" r:id="rId6"/>
        </w:object>
      </w:r>
    </w:p>
    <w:p w:rsidR="00D83E7B" w:rsidRPr="00C56C87" w:rsidRDefault="00C56C87" w:rsidP="007E023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Рис. 1 –</w:t>
      </w:r>
      <w:r w:rsidR="00D83E7B"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Елементарна комірка із частинкою у вигляді двошарової кулі</w:t>
      </w:r>
    </w:p>
    <w:p w:rsidR="00D83E7B" w:rsidRPr="00C56C87" w:rsidRDefault="00D83E7B" w:rsidP="001662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:rsidR="00C56C87" w:rsidRPr="00C56C87" w:rsidRDefault="00C56C87" w:rsidP="001662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:rsidR="00D83E7B" w:rsidRPr="00C56C87" w:rsidRDefault="00D83E7B" w:rsidP="001662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Проведений методом середніх потенціалів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аналіз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еквівалентн</w:t>
      </w:r>
      <w:r w:rsidR="000D6A2E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ої</w:t>
      </w:r>
      <w:proofErr w:type="spellEnd"/>
      <w:r w:rsidR="000D6A2E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="000D6A2E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діелектричної</w:t>
      </w:r>
      <w:proofErr w:type="spellEnd"/>
      <w:r w:rsidR="000D6A2E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="000D6A2E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проникності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дозволив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отримати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значення</w:t>
      </w:r>
      <w:proofErr w:type="spellEnd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ємності: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0"/>
        <w:gridCol w:w="1440"/>
      </w:tblGrid>
      <w:tr w:rsidR="00C56C87" w:rsidRPr="00C56C87" w:rsidTr="005D1E6C">
        <w:trPr>
          <w:trHeight w:val="36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83E7B" w:rsidRPr="00C56C87" w:rsidRDefault="00D83E7B" w:rsidP="001662B9">
            <w:pPr>
              <w:pStyle w:val="a6"/>
              <w:widowControl w:val="0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</w:pPr>
            <w:r w:rsidRPr="00C56C8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ab/>
            </w:r>
            <w:r w:rsidRPr="00C56C8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ab/>
            </w:r>
            <w:r w:rsidR="007E023E" w:rsidRPr="00C56C87">
              <w:rPr>
                <w:rFonts w:ascii="Times New Roman" w:hAnsi="Times New Roman" w:cs="Times New Roman"/>
                <w:color w:val="1F3864" w:themeColor="accent1" w:themeShade="80"/>
                <w:position w:val="-66"/>
                <w:sz w:val="28"/>
                <w:szCs w:val="28"/>
              </w:rPr>
              <w:object w:dxaOrig="6060" w:dyaOrig="1480">
                <v:shape id="_x0000_i1026" type="#_x0000_t75" style="width:282.75pt;height:69pt" o:ole="" fillcolor="window">
                  <v:imagedata r:id="rId7" o:title=""/>
                </v:shape>
                <o:OLEObject Type="Embed" ProgID="Equation.3" ShapeID="_x0000_i1026" DrawAspect="Content" ObjectID="_1741008174" r:id="rId8"/>
              </w:object>
            </w:r>
            <w:r w:rsidRPr="00C56C8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83E7B" w:rsidRPr="00C56C87" w:rsidRDefault="00D83E7B" w:rsidP="001662B9">
            <w:pPr>
              <w:pStyle w:val="a6"/>
              <w:widowControl w:val="0"/>
              <w:tabs>
                <w:tab w:val="center" w:pos="606"/>
                <w:tab w:val="right" w:pos="1213"/>
              </w:tabs>
              <w:suppressAutoHyphens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</w:pPr>
            <w:r w:rsidRPr="00C56C87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ab/>
            </w:r>
          </w:p>
          <w:p w:rsidR="00D83E7B" w:rsidRPr="00C56C87" w:rsidRDefault="00D83E7B" w:rsidP="001662B9">
            <w:pPr>
              <w:pStyle w:val="a6"/>
              <w:widowControl w:val="0"/>
              <w:tabs>
                <w:tab w:val="center" w:pos="606"/>
                <w:tab w:val="right" w:pos="1213"/>
              </w:tabs>
              <w:suppressAutoHyphens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</w:pPr>
            <w:r w:rsidRPr="00C56C87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ab/>
            </w:r>
            <w:r w:rsidR="007E023E" w:rsidRPr="00C56C87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(</w:t>
            </w:r>
            <w:r w:rsidRPr="00C56C87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1)</w:t>
            </w:r>
          </w:p>
        </w:tc>
      </w:tr>
    </w:tbl>
    <w:p w:rsidR="00D83E7B" w:rsidRPr="00C56C87" w:rsidRDefault="00D83E7B" w:rsidP="001662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де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0"/>
        <w:gridCol w:w="1440"/>
      </w:tblGrid>
      <w:tr w:rsidR="00C56C87" w:rsidRPr="00C56C87" w:rsidTr="005D1E6C">
        <w:trPr>
          <w:trHeight w:val="36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83E7B" w:rsidRPr="00C56C87" w:rsidRDefault="00D83E7B" w:rsidP="001662B9">
            <w:pPr>
              <w:pStyle w:val="a6"/>
              <w:widowControl w:val="0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</w:pPr>
            <w:r w:rsidRPr="00C56C8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ab/>
            </w:r>
            <w:r w:rsidRPr="00C56C8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ab/>
            </w:r>
            <w:r w:rsidRPr="00C56C87">
              <w:rPr>
                <w:rFonts w:ascii="Times New Roman" w:hAnsi="Times New Roman" w:cs="Times New Roman"/>
                <w:color w:val="1F3864" w:themeColor="accent1" w:themeShade="80"/>
                <w:position w:val="-30"/>
                <w:sz w:val="28"/>
                <w:szCs w:val="28"/>
              </w:rPr>
              <w:object w:dxaOrig="4380" w:dyaOrig="700">
                <v:shape id="_x0000_i1027" type="#_x0000_t75" style="width:265.5pt;height:43.5pt" o:ole="" fillcolor="window">
                  <v:imagedata r:id="rId9" o:title=""/>
                </v:shape>
                <o:OLEObject Type="Embed" ProgID="Equation.3" ShapeID="_x0000_i1027" DrawAspect="Content" ObjectID="_1741008175" r:id="rId10"/>
              </w:objec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83E7B" w:rsidRPr="00C56C87" w:rsidRDefault="00D83E7B" w:rsidP="001662B9">
            <w:pPr>
              <w:pStyle w:val="a6"/>
              <w:widowControl w:val="0"/>
              <w:tabs>
                <w:tab w:val="center" w:pos="606"/>
                <w:tab w:val="right" w:pos="1213"/>
              </w:tabs>
              <w:suppressAutoHyphens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</w:pPr>
            <w:r w:rsidRPr="00C56C87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ab/>
            </w:r>
          </w:p>
          <w:p w:rsidR="00D83E7B" w:rsidRPr="00C56C87" w:rsidRDefault="00D83E7B" w:rsidP="007E023E">
            <w:pPr>
              <w:pStyle w:val="a6"/>
              <w:widowControl w:val="0"/>
              <w:tabs>
                <w:tab w:val="center" w:pos="606"/>
                <w:tab w:val="right" w:pos="1213"/>
              </w:tabs>
              <w:suppressAutoHyphens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</w:pPr>
            <w:r w:rsidRPr="00C56C87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ab/>
            </w:r>
            <w:r w:rsidR="007E023E" w:rsidRPr="00C56C87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(</w:t>
            </w:r>
            <w:r w:rsidRPr="00C56C87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2)</w:t>
            </w:r>
          </w:p>
        </w:tc>
      </w:tr>
    </w:tbl>
    <w:p w:rsidR="00C56C87" w:rsidRPr="00C56C87" w:rsidRDefault="00C56C87" w:rsidP="007E023E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</w:pPr>
    </w:p>
    <w:p w:rsidR="00D83E7B" w:rsidRPr="00C56C87" w:rsidRDefault="00D83E7B" w:rsidP="007E023E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</w:pP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>У випадку відсутності зовнішньої оболонки діелектричної частинки відносна еквівалентна діелектрична проникність дорівнює: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0"/>
        <w:gridCol w:w="1440"/>
      </w:tblGrid>
      <w:tr w:rsidR="00C56C87" w:rsidRPr="00C56C87" w:rsidTr="005D1E6C">
        <w:trPr>
          <w:trHeight w:val="36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D83E7B" w:rsidRPr="00C56C87" w:rsidRDefault="00D83E7B" w:rsidP="001662B9">
            <w:pPr>
              <w:pStyle w:val="a6"/>
              <w:widowControl w:val="0"/>
              <w:suppressAutoHyphens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</w:pPr>
            <w:r w:rsidRPr="00C56C8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  <w:lang w:val="uk-UA"/>
              </w:rPr>
              <w:tab/>
            </w:r>
            <w:r w:rsidRPr="00C56C87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  <w:lang w:val="uk-UA"/>
              </w:rPr>
              <w:tab/>
            </w:r>
            <w:r w:rsidRPr="00C56C87">
              <w:rPr>
                <w:rFonts w:ascii="Times New Roman" w:hAnsi="Times New Roman" w:cs="Times New Roman"/>
                <w:color w:val="1F3864" w:themeColor="accent1" w:themeShade="80"/>
                <w:position w:val="-32"/>
                <w:sz w:val="28"/>
                <w:szCs w:val="28"/>
              </w:rPr>
              <w:object w:dxaOrig="3440" w:dyaOrig="700">
                <v:shape id="_x0000_i1028" type="#_x0000_t75" style="width:204pt;height:41.25pt" o:ole="" fillcolor="window">
                  <v:imagedata r:id="rId11" o:title=""/>
                </v:shape>
                <o:OLEObject Type="Embed" ProgID="Equation.3" ShapeID="_x0000_i1028" DrawAspect="Content" ObjectID="_1741008176" r:id="rId12"/>
              </w:objec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83E7B" w:rsidRPr="00C56C87" w:rsidRDefault="00D83E7B" w:rsidP="001662B9">
            <w:pPr>
              <w:pStyle w:val="a6"/>
              <w:widowControl w:val="0"/>
              <w:tabs>
                <w:tab w:val="center" w:pos="606"/>
                <w:tab w:val="right" w:pos="1213"/>
              </w:tabs>
              <w:suppressAutoHyphens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</w:pPr>
            <w:r w:rsidRPr="00C56C87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ab/>
            </w:r>
          </w:p>
          <w:p w:rsidR="00D83E7B" w:rsidRPr="00C56C87" w:rsidRDefault="00D83E7B" w:rsidP="001662B9">
            <w:pPr>
              <w:pStyle w:val="a6"/>
              <w:widowControl w:val="0"/>
              <w:tabs>
                <w:tab w:val="center" w:pos="606"/>
                <w:tab w:val="right" w:pos="1213"/>
              </w:tabs>
              <w:suppressAutoHyphens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</w:pPr>
            <w:r w:rsidRPr="00C56C87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ab/>
            </w:r>
            <w:r w:rsidR="007E023E" w:rsidRPr="00C56C87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(</w:t>
            </w:r>
            <w:r w:rsidR="00E763E5" w:rsidRPr="00C56C87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3</w:t>
            </w:r>
            <w:r w:rsidRPr="00C56C87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)</w:t>
            </w:r>
          </w:p>
        </w:tc>
      </w:tr>
    </w:tbl>
    <w:p w:rsidR="00D83E7B" w:rsidRPr="00C56C87" w:rsidRDefault="00D83E7B" w:rsidP="00E763E5">
      <w:pPr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яка не залежить від радіуса діелектричної частинки, а лише від співвідношення діелектричної проникності середовища та частинки.</w:t>
      </w:r>
    </w:p>
    <w:p w:rsidR="00C56C87" w:rsidRPr="00C56C87" w:rsidRDefault="00C56C87" w:rsidP="001662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:rsidR="00D83E7B" w:rsidRPr="00C56C87" w:rsidRDefault="00D83E7B" w:rsidP="001662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На рис. 2</w:t>
      </w:r>
      <w:r w:rsidR="00777C74"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 xml:space="preserve"> </w:t>
      </w: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наведена залежність еквівалентної діелектричної проникності від діелектричної проникності внутрішнього ядра кулі при різних співвідношення діелектричних проникностей зовнішньої оболонки та внутрішнього ядра кулі</w:t>
      </w:r>
      <w:r w:rsidR="00777C74"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.</w:t>
      </w: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</w:p>
    <w:p w:rsidR="00D83E7B" w:rsidRPr="00C56C87" w:rsidRDefault="00D83E7B" w:rsidP="001662B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56C87">
        <w:rPr>
          <w:rFonts w:ascii="Times New Roman" w:hAnsi="Times New Roman" w:cs="Times New Roman"/>
          <w:noProof/>
          <w:color w:val="1F3864" w:themeColor="accent1" w:themeShade="80"/>
          <w:sz w:val="28"/>
          <w:szCs w:val="28"/>
          <w:lang w:eastAsia="ru-RU"/>
        </w:rPr>
        <w:lastRenderedPageBreak/>
        <w:drawing>
          <wp:inline distT="0" distB="0" distL="0" distR="0" wp14:anchorId="44B8B5E3" wp14:editId="7D26A9F1">
            <wp:extent cx="3480649" cy="2867025"/>
            <wp:effectExtent l="0" t="0" r="5715" b="0"/>
            <wp:docPr id="3" name="Рисунок 3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6" t="3926" r="7709" b="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437" cy="29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E7B" w:rsidRPr="00C56C87" w:rsidRDefault="00D83E7B" w:rsidP="001662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Рис. 2.2. Залежність еквівалентної діелектричної проникності від діелектричної проникності внутрішнього ядра кулі при різних співвідношення діелектричних проникностей зовнішньої оболонки та внутрішнього ядра кулі</w:t>
      </w:r>
    </w:p>
    <w:p w:rsidR="000D6A2E" w:rsidRDefault="00EE7665" w:rsidP="00EE76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C56C87" w:rsidRPr="00C56C87" w:rsidRDefault="00EE7665" w:rsidP="00EE76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C87" w:rsidRPr="00C56C87">
        <w:rPr>
          <w:rFonts w:ascii="Times New Roman" w:hAnsi="Times New Roman" w:cs="Times New Roman"/>
          <w:sz w:val="28"/>
          <w:szCs w:val="28"/>
          <w:lang w:val="uk-UA"/>
        </w:rPr>
        <w:t>Висновок – якщо діелектрична проникність зовнішньої оболонки наближається до діелектричної проникності внутрішнього ядра частинки, то оболонкою можна нехтувати</w:t>
      </w:r>
      <w:r w:rsidR="000D6A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6C87" w:rsidRPr="00C56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C87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C56C87" w:rsidRPr="00C56C87"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r w:rsidR="00C56C87">
        <w:rPr>
          <w:rFonts w:ascii="Times New Roman" w:hAnsi="Times New Roman" w:cs="Times New Roman"/>
          <w:sz w:val="28"/>
          <w:szCs w:val="28"/>
          <w:lang w:val="uk-UA"/>
        </w:rPr>
        <w:t xml:space="preserve">зменшення </w:t>
      </w: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>блем</w:t>
      </w: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 xml:space="preserve">, </w:t>
      </w:r>
      <w:r w:rsidR="000D6A2E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>таких</w:t>
      </w:r>
      <w:bookmarkStart w:id="0" w:name="_GoBack"/>
      <w:bookmarkEnd w:id="0"/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>, я</w:t>
      </w:r>
      <w:r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>к вплив температури, неоднорідної</w:t>
      </w: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 xml:space="preserve"> структура сипучого матеріалу тощо, що може впливати на результат вимірювання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потрібно удосконалити конструкцію</w:t>
      </w:r>
      <w:r w:rsidRPr="00EE7665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 xml:space="preserve"> </w:t>
      </w: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>ЄВПДП</w:t>
      </w:r>
      <w:r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попередньо зробивши аналіз іс</w:t>
      </w:r>
      <w:r w:rsidR="00C56C87" w:rsidRPr="00C56C87">
        <w:rPr>
          <w:rFonts w:ascii="Times New Roman" w:hAnsi="Times New Roman" w:cs="Times New Roman"/>
          <w:sz w:val="28"/>
          <w:szCs w:val="28"/>
          <w:lang w:val="uk-UA"/>
        </w:rPr>
        <w:t>нуючих конструкцій.</w:t>
      </w:r>
    </w:p>
    <w:p w:rsidR="00E34970" w:rsidRPr="00C56C87" w:rsidRDefault="00E34970" w:rsidP="001662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</w:pPr>
    </w:p>
    <w:p w:rsidR="00C77534" w:rsidRPr="00C56C87" w:rsidRDefault="00C77534" w:rsidP="00EE76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</w:pPr>
      <w:r w:rsidRPr="00C56C87"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  <w:t>Література</w:t>
      </w:r>
    </w:p>
    <w:p w:rsidR="00C56C87" w:rsidRPr="00C56C87" w:rsidRDefault="00C56C87" w:rsidP="001662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</w:pPr>
    </w:p>
    <w:p w:rsidR="00C77534" w:rsidRPr="00C56C87" w:rsidRDefault="00C77534" w:rsidP="00C56C87">
      <w:pPr>
        <w:pStyle w:val="a9"/>
        <w:numPr>
          <w:ilvl w:val="0"/>
          <w:numId w:val="11"/>
        </w:numPr>
        <w:jc w:val="both"/>
        <w:rPr>
          <w:color w:val="1F3864" w:themeColor="accent1" w:themeShade="80"/>
          <w:sz w:val="28"/>
          <w:szCs w:val="28"/>
        </w:rPr>
      </w:pPr>
      <w:r w:rsidRPr="00C56C87">
        <w:rPr>
          <w:color w:val="1F3864" w:themeColor="accent1" w:themeShade="80"/>
          <w:spacing w:val="-4"/>
          <w:sz w:val="28"/>
          <w:szCs w:val="28"/>
          <w:lang w:val="uk-UA"/>
        </w:rPr>
        <w:t>Байцар Р. І. Ємнісні сенсори / Байцар Р. І., Варшава С. С., Радченко Ю. Ю. –</w:t>
      </w:r>
      <w:r w:rsidRPr="00C56C87">
        <w:rPr>
          <w:color w:val="1F3864" w:themeColor="accent1" w:themeShade="80"/>
          <w:sz w:val="28"/>
          <w:szCs w:val="28"/>
          <w:lang w:val="uk-UA"/>
        </w:rPr>
        <w:t xml:space="preserve"> Львів: Вид-во ЛвЦНТЕІ, 2002. – 63 с. </w:t>
      </w:r>
    </w:p>
    <w:p w:rsidR="001662B9" w:rsidRPr="00C56C87" w:rsidRDefault="001662B9" w:rsidP="00C56C8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</w:pPr>
      <w:r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>Сергієнко Д.К., Пилипенко О.В. Сучасні ємнісні перетворювачі неелектричних величин / Програма і матеріали Міжнародної науково-технічної конференції студентів і молодих вчених «Фізика, електроніки, електротехніка. ФЕЕ-2021». – 2021. – С. 68</w:t>
      </w:r>
    </w:p>
    <w:p w:rsidR="00C77534" w:rsidRPr="00C56C87" w:rsidRDefault="00C77534" w:rsidP="00C56C87">
      <w:pPr>
        <w:pStyle w:val="a9"/>
        <w:numPr>
          <w:ilvl w:val="0"/>
          <w:numId w:val="11"/>
        </w:numPr>
        <w:jc w:val="both"/>
        <w:rPr>
          <w:color w:val="1F3864" w:themeColor="accent1" w:themeShade="80"/>
          <w:sz w:val="28"/>
          <w:szCs w:val="28"/>
          <w:lang w:val="uk-UA"/>
        </w:rPr>
      </w:pPr>
      <w:r w:rsidRPr="00C56C87">
        <w:rPr>
          <w:color w:val="1F3864" w:themeColor="accent1" w:themeShade="80"/>
          <w:sz w:val="28"/>
          <w:szCs w:val="28"/>
          <w:lang w:val="uk-UA"/>
        </w:rPr>
        <w:t>Основи метрології та вимірювальної техніки : [підруч: у 2 томах] / Дорожовець М., Мотало В., Стадник Б, Василюк В., Борек Р., Ковальчук</w:t>
      </w:r>
      <w:r w:rsidRPr="00C56C87">
        <w:rPr>
          <w:color w:val="1F3864" w:themeColor="accent1" w:themeShade="80"/>
          <w:sz w:val="28"/>
          <w:szCs w:val="28"/>
          <w:lang w:val="en-US"/>
        </w:rPr>
        <w:t> </w:t>
      </w:r>
      <w:r w:rsidRPr="00C56C87">
        <w:rPr>
          <w:color w:val="1F3864" w:themeColor="accent1" w:themeShade="80"/>
          <w:sz w:val="28"/>
          <w:szCs w:val="28"/>
          <w:lang w:val="uk-UA"/>
        </w:rPr>
        <w:t>А. / за ред. д.т.н., проф. Б. Стадника. – Т. 2. Вимірювальна техніка. – Львів: Вид-во НУ “Львівська політехніка”, 2005. – 656 с.</w:t>
      </w:r>
    </w:p>
    <w:p w:rsidR="001662B9" w:rsidRPr="00C56C87" w:rsidRDefault="001662B9" w:rsidP="00C56C87">
      <w:pPr>
        <w:pStyle w:val="a8"/>
        <w:numPr>
          <w:ilvl w:val="0"/>
          <w:numId w:val="11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  <w:lang w:val="uk-UA"/>
        </w:rPr>
      </w:pPr>
      <w:r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>Вимірювальні перетворювачі : лабораторний</w:t>
      </w:r>
      <w:r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ab/>
        <w:t>практикум/[Кучерук В. Ю., В.М. Севастьянов, О.Г. Ігнатенко, В.С. Маньковська</w:t>
      </w:r>
      <w:r w:rsidR="00C56C87"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val="uk-UA"/>
        </w:rPr>
        <w:t>.</w:t>
      </w:r>
      <w:r w:rsidRPr="00C56C87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>– Вінниця: ВНТУ, 2013. – 183 с.</w:t>
      </w:r>
    </w:p>
    <w:p w:rsidR="001662B9" w:rsidRPr="00ED712B" w:rsidRDefault="001662B9" w:rsidP="00C56C87">
      <w:pPr>
        <w:pStyle w:val="a9"/>
        <w:numPr>
          <w:ilvl w:val="0"/>
          <w:numId w:val="11"/>
        </w:numPr>
        <w:jc w:val="both"/>
        <w:rPr>
          <w:color w:val="1F3864" w:themeColor="accent1" w:themeShade="80"/>
          <w:sz w:val="28"/>
          <w:szCs w:val="28"/>
          <w:lang w:val="uk-UA"/>
        </w:rPr>
      </w:pPr>
      <w:r w:rsidRPr="00C56C87">
        <w:rPr>
          <w:rStyle w:val="ab"/>
          <w:bCs/>
          <w:i w:val="0"/>
          <w:iCs w:val="0"/>
          <w:color w:val="1F3864" w:themeColor="accent1" w:themeShade="80"/>
          <w:sz w:val="28"/>
          <w:szCs w:val="28"/>
          <w:shd w:val="clear" w:color="auto" w:fill="FFFFFF"/>
        </w:rPr>
        <w:t>Елементи та пристрої систем управління автоматики</w:t>
      </w:r>
      <w:r w:rsidRPr="00C56C87">
        <w:rPr>
          <w:color w:val="1F3864" w:themeColor="accent1" w:themeShade="80"/>
          <w:sz w:val="28"/>
          <w:szCs w:val="28"/>
          <w:shd w:val="clear" w:color="auto" w:fill="FFFFFF"/>
        </w:rPr>
        <w:t> / </w:t>
      </w:r>
      <w:r w:rsidRPr="00C56C87">
        <w:rPr>
          <w:rStyle w:val="ab"/>
          <w:bCs/>
          <w:i w:val="0"/>
          <w:iCs w:val="0"/>
          <w:color w:val="1F3864" w:themeColor="accent1" w:themeShade="80"/>
          <w:sz w:val="28"/>
          <w:szCs w:val="28"/>
          <w:shd w:val="clear" w:color="auto" w:fill="FFFFFF"/>
        </w:rPr>
        <w:t>А</w:t>
      </w:r>
      <w:r w:rsidRPr="00C56C87">
        <w:rPr>
          <w:color w:val="1F3864" w:themeColor="accent1" w:themeShade="80"/>
          <w:sz w:val="28"/>
          <w:szCs w:val="28"/>
          <w:shd w:val="clear" w:color="auto" w:fill="FFFFFF"/>
        </w:rPr>
        <w:t>.</w:t>
      </w:r>
      <w:r w:rsidRPr="00C56C87">
        <w:rPr>
          <w:rStyle w:val="ab"/>
          <w:bCs/>
          <w:i w:val="0"/>
          <w:iCs w:val="0"/>
          <w:color w:val="1F3864" w:themeColor="accent1" w:themeShade="80"/>
          <w:sz w:val="28"/>
          <w:szCs w:val="28"/>
          <w:shd w:val="clear" w:color="auto" w:fill="FFFFFF"/>
        </w:rPr>
        <w:t>С</w:t>
      </w:r>
      <w:r w:rsidRPr="00C56C87">
        <w:rPr>
          <w:color w:val="1F3864" w:themeColor="accent1" w:themeShade="80"/>
          <w:sz w:val="28"/>
          <w:szCs w:val="28"/>
          <w:shd w:val="clear" w:color="auto" w:fill="FFFFFF"/>
        </w:rPr>
        <w:t>. </w:t>
      </w:r>
      <w:r w:rsidRPr="00C56C87">
        <w:rPr>
          <w:rStyle w:val="ab"/>
          <w:bCs/>
          <w:i w:val="0"/>
          <w:iCs w:val="0"/>
          <w:color w:val="1F3864" w:themeColor="accent1" w:themeShade="80"/>
          <w:sz w:val="28"/>
          <w:szCs w:val="28"/>
          <w:shd w:val="clear" w:color="auto" w:fill="FFFFFF"/>
        </w:rPr>
        <w:t>Васюра</w:t>
      </w:r>
      <w:r w:rsidRPr="00C56C87">
        <w:rPr>
          <w:color w:val="1F3864" w:themeColor="accent1" w:themeShade="80"/>
          <w:sz w:val="28"/>
          <w:szCs w:val="28"/>
          <w:shd w:val="clear" w:color="auto" w:fill="FFFFFF"/>
        </w:rPr>
        <w:t xml:space="preserve">. </w:t>
      </w:r>
      <w:r w:rsidR="00C56C87" w:rsidRPr="00C56C87">
        <w:rPr>
          <w:color w:val="1F3864" w:themeColor="accent1" w:themeShade="80"/>
          <w:sz w:val="28"/>
          <w:szCs w:val="28"/>
          <w:shd w:val="clear" w:color="auto" w:fill="FFFFFF"/>
          <w:lang w:val="uk-UA"/>
        </w:rPr>
        <w:t xml:space="preserve">                 </w:t>
      </w:r>
      <w:r w:rsidRPr="00C56C87">
        <w:rPr>
          <w:color w:val="1F3864" w:themeColor="accent1" w:themeShade="80"/>
          <w:sz w:val="28"/>
          <w:szCs w:val="28"/>
          <w:shd w:val="clear" w:color="auto" w:fill="FFFFFF"/>
        </w:rPr>
        <w:t>– Режим доступу: www.URL:http://www.opticstoday.com/ 10.12.2014.</w:t>
      </w:r>
    </w:p>
    <w:p w:rsidR="00ED712B" w:rsidRDefault="00ED712B" w:rsidP="00ED712B">
      <w:pPr>
        <w:pStyle w:val="a9"/>
        <w:jc w:val="both"/>
        <w:rPr>
          <w:color w:val="1F3864" w:themeColor="accent1" w:themeShade="80"/>
          <w:sz w:val="28"/>
          <w:szCs w:val="28"/>
          <w:shd w:val="clear" w:color="auto" w:fill="FFFFFF"/>
        </w:rPr>
      </w:pPr>
    </w:p>
    <w:p w:rsidR="00ED712B" w:rsidRPr="00ED712B" w:rsidRDefault="0070129A" w:rsidP="00ED712B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712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ЗАЯВКА УЧАСН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ED712B">
        <w:rPr>
          <w:rFonts w:ascii="Times New Roman" w:hAnsi="Times New Roman" w:cs="Times New Roman"/>
          <w:b/>
          <w:sz w:val="28"/>
          <w:szCs w:val="28"/>
          <w:lang w:val="uk-UA"/>
        </w:rPr>
        <w:t>КА</w:t>
      </w:r>
    </w:p>
    <w:p w:rsidR="00ED712B" w:rsidRPr="00ED712B" w:rsidRDefault="00ED712B" w:rsidP="00ED712B">
      <w:pPr>
        <w:spacing w:line="237" w:lineRule="auto"/>
        <w:ind w:left="1660" w:right="320" w:hanging="1065"/>
        <w:jc w:val="center"/>
        <w:rPr>
          <w:rFonts w:ascii="Times New Roman" w:hAnsi="Times New Roman" w:cs="Times New Roman"/>
          <w:sz w:val="28"/>
          <w:szCs w:val="28"/>
        </w:rPr>
      </w:pPr>
      <w:r w:rsidRPr="00ED712B">
        <w:rPr>
          <w:rFonts w:ascii="Times New Roman" w:hAnsi="Times New Roman" w:cs="Times New Roman"/>
          <w:sz w:val="28"/>
          <w:szCs w:val="28"/>
        </w:rPr>
        <w:t>Всеукраїнської науково-практичної конференції</w:t>
      </w:r>
    </w:p>
    <w:p w:rsidR="00ED712B" w:rsidRPr="00ED712B" w:rsidRDefault="00ED712B" w:rsidP="00ED712B">
      <w:pPr>
        <w:spacing w:line="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D712B" w:rsidRPr="00ED712B" w:rsidRDefault="00ED712B" w:rsidP="00ED712B">
      <w:pPr>
        <w:spacing w:line="252" w:lineRule="auto"/>
        <w:ind w:right="20" w:firstLine="1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12B">
        <w:rPr>
          <w:rFonts w:ascii="Times New Roman" w:hAnsi="Times New Roman" w:cs="Times New Roman"/>
          <w:b/>
          <w:sz w:val="28"/>
          <w:szCs w:val="28"/>
        </w:rPr>
        <w:t>«Синергія освіти, науки, виробництва в умовах глобальних викликів сьогодення»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D712B" w:rsidRPr="00897CA6" w:rsidTr="00ED712B">
        <w:tc>
          <w:tcPr>
            <w:tcW w:w="4814" w:type="dxa"/>
          </w:tcPr>
          <w:p w:rsidR="00ED712B" w:rsidRPr="00897CA6" w:rsidRDefault="00ED712B" w:rsidP="00ED712B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</w:p>
        </w:tc>
        <w:tc>
          <w:tcPr>
            <w:tcW w:w="4814" w:type="dxa"/>
          </w:tcPr>
          <w:p w:rsidR="00ED712B" w:rsidRPr="00897CA6" w:rsidRDefault="00ED712B" w:rsidP="00ED712B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Голубєв</w:t>
            </w:r>
          </w:p>
        </w:tc>
      </w:tr>
      <w:tr w:rsidR="00ED712B" w:rsidRPr="00897CA6" w:rsidTr="00ED712B">
        <w:tc>
          <w:tcPr>
            <w:tcW w:w="4814" w:type="dxa"/>
          </w:tcPr>
          <w:p w:rsidR="00ED712B" w:rsidRPr="00897CA6" w:rsidRDefault="00ED712B" w:rsidP="00ED712B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</w:p>
        </w:tc>
        <w:tc>
          <w:tcPr>
            <w:tcW w:w="4814" w:type="dxa"/>
          </w:tcPr>
          <w:p w:rsidR="00ED712B" w:rsidRPr="00897CA6" w:rsidRDefault="00897CA6" w:rsidP="00ED712B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Владислав Андрійович</w:t>
            </w:r>
          </w:p>
        </w:tc>
      </w:tr>
      <w:tr w:rsidR="00ED712B" w:rsidRPr="00897CA6" w:rsidTr="00ED712B">
        <w:tc>
          <w:tcPr>
            <w:tcW w:w="4814" w:type="dxa"/>
          </w:tcPr>
          <w:p w:rsidR="00ED712B" w:rsidRPr="00897CA6" w:rsidRDefault="00ED712B" w:rsidP="00ED712B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По-батькові</w:t>
            </w:r>
          </w:p>
        </w:tc>
        <w:tc>
          <w:tcPr>
            <w:tcW w:w="4814" w:type="dxa"/>
          </w:tcPr>
          <w:p w:rsidR="00ED712B" w:rsidRPr="00897CA6" w:rsidRDefault="00897CA6" w:rsidP="00ED712B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Андрійович</w:t>
            </w:r>
          </w:p>
        </w:tc>
      </w:tr>
      <w:tr w:rsidR="00ED712B" w:rsidRPr="00897CA6" w:rsidTr="00ED712B">
        <w:tc>
          <w:tcPr>
            <w:tcW w:w="4814" w:type="dxa"/>
          </w:tcPr>
          <w:p w:rsidR="00ED712B" w:rsidRPr="00897CA6" w:rsidRDefault="00ED712B" w:rsidP="00ED712B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Науковий ступінь</w:t>
            </w:r>
          </w:p>
        </w:tc>
        <w:tc>
          <w:tcPr>
            <w:tcW w:w="4814" w:type="dxa"/>
          </w:tcPr>
          <w:p w:rsidR="00ED712B" w:rsidRPr="00897CA6" w:rsidRDefault="00897CA6" w:rsidP="00ED712B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немає</w:t>
            </w:r>
          </w:p>
        </w:tc>
      </w:tr>
      <w:tr w:rsidR="00ED712B" w:rsidRPr="00897CA6" w:rsidTr="00ED712B">
        <w:tc>
          <w:tcPr>
            <w:tcW w:w="4814" w:type="dxa"/>
          </w:tcPr>
          <w:p w:rsidR="00ED712B" w:rsidRPr="00897CA6" w:rsidRDefault="00ED712B" w:rsidP="00ED712B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Вчене звання</w:t>
            </w:r>
          </w:p>
        </w:tc>
        <w:tc>
          <w:tcPr>
            <w:tcW w:w="4814" w:type="dxa"/>
          </w:tcPr>
          <w:p w:rsidR="00ED712B" w:rsidRPr="00897CA6" w:rsidRDefault="00897CA6" w:rsidP="00ED712B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немає</w:t>
            </w:r>
          </w:p>
        </w:tc>
      </w:tr>
      <w:tr w:rsidR="00ED712B" w:rsidRPr="00897CA6" w:rsidTr="00A56132">
        <w:tc>
          <w:tcPr>
            <w:tcW w:w="4814" w:type="dxa"/>
          </w:tcPr>
          <w:p w:rsidR="00ED712B" w:rsidRPr="00897CA6" w:rsidRDefault="00ED712B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4814" w:type="dxa"/>
          </w:tcPr>
          <w:p w:rsidR="00ED712B" w:rsidRPr="00897CA6" w:rsidRDefault="00897CA6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студент</w:t>
            </w:r>
          </w:p>
        </w:tc>
      </w:tr>
      <w:tr w:rsidR="00ED712B" w:rsidRPr="00897CA6" w:rsidTr="00A56132">
        <w:tc>
          <w:tcPr>
            <w:tcW w:w="4814" w:type="dxa"/>
          </w:tcPr>
          <w:p w:rsidR="00ED712B" w:rsidRPr="00897CA6" w:rsidRDefault="00ED712B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Організація, установа, підприємство</w:t>
            </w:r>
          </w:p>
        </w:tc>
        <w:tc>
          <w:tcPr>
            <w:tcW w:w="4814" w:type="dxa"/>
          </w:tcPr>
          <w:p w:rsidR="00ED712B" w:rsidRPr="00897CA6" w:rsidRDefault="00897CA6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КПІ ім. Ігоря Сікорського</w:t>
            </w:r>
          </w:p>
        </w:tc>
      </w:tr>
      <w:tr w:rsidR="00ED712B" w:rsidRPr="00897CA6" w:rsidTr="00A56132">
        <w:tc>
          <w:tcPr>
            <w:tcW w:w="4814" w:type="dxa"/>
          </w:tcPr>
          <w:p w:rsidR="00ED712B" w:rsidRPr="00897CA6" w:rsidRDefault="00ED712B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4" w:type="dxa"/>
          </w:tcPr>
          <w:p w:rsidR="00ED712B" w:rsidRPr="00897CA6" w:rsidRDefault="00897CA6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380956575035</w:t>
            </w:r>
          </w:p>
        </w:tc>
      </w:tr>
      <w:tr w:rsidR="00ED712B" w:rsidRPr="00897CA6" w:rsidTr="00A56132">
        <w:tc>
          <w:tcPr>
            <w:tcW w:w="4814" w:type="dxa"/>
          </w:tcPr>
          <w:p w:rsidR="00ED712B" w:rsidRPr="00897CA6" w:rsidRDefault="00ED712B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814" w:type="dxa"/>
          </w:tcPr>
          <w:p w:rsidR="00ED712B" w:rsidRPr="00897CA6" w:rsidRDefault="00897CA6" w:rsidP="00897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CA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ru-RU"/>
              </w:rPr>
              <w:t>zzdkflzzzz2@gmail.com</w:t>
            </w:r>
          </w:p>
        </w:tc>
      </w:tr>
      <w:tr w:rsidR="00ED712B" w:rsidRPr="00897CA6" w:rsidTr="00A56132">
        <w:tc>
          <w:tcPr>
            <w:tcW w:w="4814" w:type="dxa"/>
          </w:tcPr>
          <w:p w:rsidR="00ED712B" w:rsidRPr="00897CA6" w:rsidRDefault="00897CA6" w:rsidP="00897CA6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D712B" w:rsidRPr="00897CA6">
              <w:rPr>
                <w:rFonts w:ascii="Times New Roman" w:hAnsi="Times New Roman" w:cs="Times New Roman"/>
                <w:sz w:val="24"/>
                <w:szCs w:val="24"/>
              </w:rPr>
              <w:t>Назва доповіді</w:t>
            </w:r>
          </w:p>
        </w:tc>
        <w:tc>
          <w:tcPr>
            <w:tcW w:w="4814" w:type="dxa"/>
          </w:tcPr>
          <w:p w:rsidR="00897CA6" w:rsidRPr="00897CA6" w:rsidRDefault="00897CA6" w:rsidP="00897CA6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uk-UA"/>
              </w:rPr>
            </w:pPr>
            <w:r w:rsidRPr="00897CA6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uk-UA"/>
              </w:rPr>
              <w:t>ЄМНІСНІ ПЕРЕТВОРЮВАЧІ</w:t>
            </w:r>
          </w:p>
          <w:p w:rsidR="00ED712B" w:rsidRPr="00897CA6" w:rsidRDefault="00ED712B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CA6" w:rsidRPr="00897CA6" w:rsidTr="00A56132">
        <w:tc>
          <w:tcPr>
            <w:tcW w:w="4814" w:type="dxa"/>
          </w:tcPr>
          <w:p w:rsidR="00897CA6" w:rsidRPr="00897CA6" w:rsidRDefault="00897CA6" w:rsidP="00897CA6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Назва секції</w:t>
            </w:r>
          </w:p>
        </w:tc>
        <w:tc>
          <w:tcPr>
            <w:tcW w:w="4814" w:type="dxa"/>
          </w:tcPr>
          <w:p w:rsidR="00897CA6" w:rsidRPr="00897CA6" w:rsidRDefault="00897CA6" w:rsidP="00897CA6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Галузеве машинобудування</w:t>
            </w:r>
          </w:p>
        </w:tc>
      </w:tr>
      <w:tr w:rsidR="00897CA6" w:rsidRPr="00897CA6" w:rsidTr="00ED712B">
        <w:tc>
          <w:tcPr>
            <w:tcW w:w="4814" w:type="dxa"/>
          </w:tcPr>
          <w:p w:rsidR="00897CA6" w:rsidRPr="00897CA6" w:rsidRDefault="00897CA6" w:rsidP="00897CA6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Форма доповіді (пленарна, секційна, стендова)</w:t>
            </w:r>
          </w:p>
        </w:tc>
        <w:tc>
          <w:tcPr>
            <w:tcW w:w="4814" w:type="dxa"/>
          </w:tcPr>
          <w:p w:rsidR="00897CA6" w:rsidRPr="00897CA6" w:rsidRDefault="00897CA6" w:rsidP="00897CA6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Стендова</w:t>
            </w:r>
          </w:p>
        </w:tc>
      </w:tr>
    </w:tbl>
    <w:p w:rsidR="00ED712B" w:rsidRPr="00897CA6" w:rsidRDefault="00ED712B" w:rsidP="00ED712B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12B" w:rsidRPr="00897CA6" w:rsidRDefault="00ED712B" w:rsidP="00ED712B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CA6">
        <w:rPr>
          <w:rFonts w:ascii="Times New Roman" w:hAnsi="Times New Roman" w:cs="Times New Roman"/>
          <w:b/>
          <w:sz w:val="24"/>
          <w:szCs w:val="24"/>
        </w:rPr>
        <w:t>ЗАЯВКА УЧАСНИКА</w:t>
      </w:r>
    </w:p>
    <w:p w:rsidR="00ED712B" w:rsidRPr="00897CA6" w:rsidRDefault="00ED712B" w:rsidP="00897CA6">
      <w:pPr>
        <w:spacing w:line="237" w:lineRule="auto"/>
        <w:ind w:left="1660" w:right="320" w:hanging="1065"/>
        <w:jc w:val="center"/>
        <w:rPr>
          <w:rFonts w:ascii="Times New Roman" w:hAnsi="Times New Roman" w:cs="Times New Roman"/>
          <w:sz w:val="28"/>
          <w:szCs w:val="28"/>
        </w:rPr>
      </w:pPr>
      <w:r w:rsidRPr="00897CA6">
        <w:rPr>
          <w:rFonts w:ascii="Times New Roman" w:hAnsi="Times New Roman" w:cs="Times New Roman"/>
          <w:sz w:val="28"/>
          <w:szCs w:val="28"/>
        </w:rPr>
        <w:t>Всеукраїнської науково-практичної конференції</w:t>
      </w:r>
    </w:p>
    <w:p w:rsidR="00ED712B" w:rsidRPr="00897CA6" w:rsidRDefault="00ED712B" w:rsidP="00897CA6">
      <w:pPr>
        <w:spacing w:line="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D712B" w:rsidRPr="00897CA6" w:rsidRDefault="00ED712B" w:rsidP="00897CA6">
      <w:pPr>
        <w:spacing w:line="252" w:lineRule="auto"/>
        <w:ind w:right="20" w:firstLine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CA6">
        <w:rPr>
          <w:rFonts w:ascii="Times New Roman" w:hAnsi="Times New Roman" w:cs="Times New Roman"/>
          <w:b/>
          <w:sz w:val="28"/>
          <w:szCs w:val="28"/>
        </w:rPr>
        <w:t xml:space="preserve">«Синергія освіти, науки, виробництва в умовах глобальних викликів </w:t>
      </w:r>
      <w:r w:rsidRPr="00897CA6">
        <w:rPr>
          <w:rFonts w:ascii="Times New Roman" w:hAnsi="Times New Roman" w:cs="Times New Roman"/>
          <w:b/>
          <w:sz w:val="24"/>
          <w:szCs w:val="24"/>
        </w:rPr>
        <w:t>сьогодення»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D712B" w:rsidRPr="00897CA6" w:rsidTr="00A56132">
        <w:tc>
          <w:tcPr>
            <w:tcW w:w="4814" w:type="dxa"/>
          </w:tcPr>
          <w:p w:rsidR="00ED712B" w:rsidRPr="00897CA6" w:rsidRDefault="00ED712B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</w:p>
        </w:tc>
        <w:tc>
          <w:tcPr>
            <w:tcW w:w="4814" w:type="dxa"/>
          </w:tcPr>
          <w:p w:rsidR="00ED712B" w:rsidRPr="00897CA6" w:rsidRDefault="00897CA6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Защепкіна</w:t>
            </w:r>
          </w:p>
        </w:tc>
      </w:tr>
      <w:tr w:rsidR="00ED712B" w:rsidRPr="00897CA6" w:rsidTr="00A56132">
        <w:tc>
          <w:tcPr>
            <w:tcW w:w="4814" w:type="dxa"/>
          </w:tcPr>
          <w:p w:rsidR="00ED712B" w:rsidRPr="00897CA6" w:rsidRDefault="00ED712B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</w:p>
        </w:tc>
        <w:tc>
          <w:tcPr>
            <w:tcW w:w="4814" w:type="dxa"/>
          </w:tcPr>
          <w:p w:rsidR="00ED712B" w:rsidRPr="00897CA6" w:rsidRDefault="00897CA6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Наталія </w:t>
            </w:r>
          </w:p>
        </w:tc>
      </w:tr>
      <w:tr w:rsidR="00ED712B" w:rsidRPr="00897CA6" w:rsidTr="00A56132">
        <w:tc>
          <w:tcPr>
            <w:tcW w:w="4814" w:type="dxa"/>
          </w:tcPr>
          <w:p w:rsidR="00ED712B" w:rsidRPr="00897CA6" w:rsidRDefault="00ED712B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По-батькові</w:t>
            </w:r>
          </w:p>
        </w:tc>
        <w:tc>
          <w:tcPr>
            <w:tcW w:w="4814" w:type="dxa"/>
          </w:tcPr>
          <w:p w:rsidR="00ED712B" w:rsidRPr="00897CA6" w:rsidRDefault="00897CA6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Миколаївна</w:t>
            </w:r>
          </w:p>
        </w:tc>
      </w:tr>
      <w:tr w:rsidR="00ED712B" w:rsidRPr="00897CA6" w:rsidTr="00A56132">
        <w:tc>
          <w:tcPr>
            <w:tcW w:w="4814" w:type="dxa"/>
          </w:tcPr>
          <w:p w:rsidR="00ED712B" w:rsidRPr="00897CA6" w:rsidRDefault="00ED712B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Науковий ступінь</w:t>
            </w:r>
          </w:p>
        </w:tc>
        <w:tc>
          <w:tcPr>
            <w:tcW w:w="4814" w:type="dxa"/>
          </w:tcPr>
          <w:p w:rsidR="00ED712B" w:rsidRPr="00897CA6" w:rsidRDefault="00897CA6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Доктор технічних наук</w:t>
            </w:r>
          </w:p>
        </w:tc>
      </w:tr>
      <w:tr w:rsidR="00ED712B" w:rsidRPr="00897CA6" w:rsidTr="00A56132">
        <w:tc>
          <w:tcPr>
            <w:tcW w:w="4814" w:type="dxa"/>
          </w:tcPr>
          <w:p w:rsidR="00ED712B" w:rsidRPr="00897CA6" w:rsidRDefault="00ED712B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Вчене звання</w:t>
            </w:r>
          </w:p>
        </w:tc>
        <w:tc>
          <w:tcPr>
            <w:tcW w:w="4814" w:type="dxa"/>
          </w:tcPr>
          <w:p w:rsidR="00ED712B" w:rsidRPr="00897CA6" w:rsidRDefault="00897CA6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професор</w:t>
            </w:r>
          </w:p>
        </w:tc>
      </w:tr>
      <w:tr w:rsidR="00ED712B" w:rsidRPr="00897CA6" w:rsidTr="00A56132">
        <w:tc>
          <w:tcPr>
            <w:tcW w:w="4814" w:type="dxa"/>
          </w:tcPr>
          <w:p w:rsidR="00ED712B" w:rsidRPr="00897CA6" w:rsidRDefault="00ED712B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4814" w:type="dxa"/>
          </w:tcPr>
          <w:p w:rsidR="00ED712B" w:rsidRPr="00897CA6" w:rsidRDefault="00897CA6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Професор кафедри інформаційно-вимірювальних технологій</w:t>
            </w:r>
          </w:p>
        </w:tc>
      </w:tr>
      <w:tr w:rsidR="00ED712B" w:rsidRPr="00897CA6" w:rsidTr="00A56132">
        <w:tc>
          <w:tcPr>
            <w:tcW w:w="4814" w:type="dxa"/>
          </w:tcPr>
          <w:p w:rsidR="00ED712B" w:rsidRPr="00897CA6" w:rsidRDefault="00ED712B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Організація, установа, підприємство</w:t>
            </w:r>
          </w:p>
        </w:tc>
        <w:tc>
          <w:tcPr>
            <w:tcW w:w="4814" w:type="dxa"/>
          </w:tcPr>
          <w:p w:rsidR="00ED712B" w:rsidRPr="00897CA6" w:rsidRDefault="00897CA6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КПІ ім. Ігоря Сікорського</w:t>
            </w:r>
          </w:p>
        </w:tc>
      </w:tr>
      <w:tr w:rsidR="00ED712B" w:rsidRPr="00897CA6" w:rsidTr="00A56132">
        <w:tc>
          <w:tcPr>
            <w:tcW w:w="4814" w:type="dxa"/>
          </w:tcPr>
          <w:p w:rsidR="00ED712B" w:rsidRPr="00897CA6" w:rsidRDefault="00ED712B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4" w:type="dxa"/>
          </w:tcPr>
          <w:p w:rsidR="00ED712B" w:rsidRPr="00897CA6" w:rsidRDefault="00897CA6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380505109228</w:t>
            </w:r>
          </w:p>
        </w:tc>
      </w:tr>
      <w:tr w:rsidR="00ED712B" w:rsidRPr="00897CA6" w:rsidTr="00A56132">
        <w:tc>
          <w:tcPr>
            <w:tcW w:w="4814" w:type="dxa"/>
          </w:tcPr>
          <w:p w:rsidR="00ED712B" w:rsidRPr="00897CA6" w:rsidRDefault="00ED712B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814" w:type="dxa"/>
          </w:tcPr>
          <w:p w:rsidR="00ED712B" w:rsidRPr="00897CA6" w:rsidRDefault="00897CA6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nanic1604@gmail.com</w:t>
            </w:r>
          </w:p>
        </w:tc>
      </w:tr>
      <w:tr w:rsidR="00ED712B" w:rsidRPr="00897CA6" w:rsidTr="00A56132">
        <w:tc>
          <w:tcPr>
            <w:tcW w:w="4814" w:type="dxa"/>
          </w:tcPr>
          <w:p w:rsidR="00ED712B" w:rsidRPr="00897CA6" w:rsidRDefault="00ED712B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 xml:space="preserve"> Назва доповіді</w:t>
            </w:r>
          </w:p>
        </w:tc>
        <w:tc>
          <w:tcPr>
            <w:tcW w:w="4814" w:type="dxa"/>
          </w:tcPr>
          <w:p w:rsidR="00ED712B" w:rsidRPr="00897CA6" w:rsidRDefault="00897CA6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Ємнісні перетворювачі</w:t>
            </w:r>
          </w:p>
        </w:tc>
      </w:tr>
      <w:tr w:rsidR="00ED712B" w:rsidRPr="00897CA6" w:rsidTr="00A56132">
        <w:tc>
          <w:tcPr>
            <w:tcW w:w="4814" w:type="dxa"/>
          </w:tcPr>
          <w:p w:rsidR="00ED712B" w:rsidRPr="00897CA6" w:rsidRDefault="00ED712B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Назва секції</w:t>
            </w:r>
          </w:p>
        </w:tc>
        <w:tc>
          <w:tcPr>
            <w:tcW w:w="4814" w:type="dxa"/>
          </w:tcPr>
          <w:p w:rsidR="00ED712B" w:rsidRPr="00897CA6" w:rsidRDefault="00897CA6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Галузеве машинобудування</w:t>
            </w:r>
          </w:p>
        </w:tc>
      </w:tr>
      <w:tr w:rsidR="00ED712B" w:rsidRPr="00897CA6" w:rsidTr="00897CA6">
        <w:trPr>
          <w:trHeight w:val="343"/>
        </w:trPr>
        <w:tc>
          <w:tcPr>
            <w:tcW w:w="4814" w:type="dxa"/>
          </w:tcPr>
          <w:p w:rsidR="00ED712B" w:rsidRPr="00897CA6" w:rsidRDefault="00ED712B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A6">
              <w:rPr>
                <w:rFonts w:ascii="Times New Roman" w:hAnsi="Times New Roman" w:cs="Times New Roman"/>
                <w:sz w:val="24"/>
                <w:szCs w:val="24"/>
              </w:rPr>
              <w:t>Форма доповіді (пленарна, секційна, стендова)</w:t>
            </w:r>
          </w:p>
        </w:tc>
        <w:tc>
          <w:tcPr>
            <w:tcW w:w="4814" w:type="dxa"/>
          </w:tcPr>
          <w:p w:rsidR="00ED712B" w:rsidRPr="00897CA6" w:rsidRDefault="00897CA6" w:rsidP="00A56132">
            <w:pPr>
              <w:spacing w:line="0" w:lineRule="atLeast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7C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Стендова</w:t>
            </w:r>
          </w:p>
        </w:tc>
      </w:tr>
    </w:tbl>
    <w:p w:rsidR="00ED712B" w:rsidRPr="00ED712B" w:rsidRDefault="00ED712B" w:rsidP="00ED712B">
      <w:pPr>
        <w:spacing w:line="20" w:lineRule="exact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sectPr w:rsidR="00ED712B" w:rsidRPr="00ED712B" w:rsidSect="00D431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5"/>
    <w:multiLevelType w:val="hybridMultilevel"/>
    <w:tmpl w:val="333AB104"/>
    <w:lvl w:ilvl="0" w:tplc="FFFFFFFF">
      <w:start w:val="1"/>
      <w:numFmt w:val="bullet"/>
      <w:lvlText w:val="Т."/>
      <w:lvlJc w:val="left"/>
    </w:lvl>
    <w:lvl w:ilvl="1" w:tplc="FFFFFFFF">
      <w:start w:val="1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FD76AA4"/>
    <w:multiLevelType w:val="hybridMultilevel"/>
    <w:tmpl w:val="E70EA804"/>
    <w:lvl w:ilvl="0" w:tplc="1C88DA4C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2B55492"/>
    <w:multiLevelType w:val="hybridMultilevel"/>
    <w:tmpl w:val="6A2A3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F0053"/>
    <w:multiLevelType w:val="hybridMultilevel"/>
    <w:tmpl w:val="A866F966"/>
    <w:lvl w:ilvl="0" w:tplc="47B0BC5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1CE0"/>
    <w:multiLevelType w:val="hybridMultilevel"/>
    <w:tmpl w:val="9DE0183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0A393F"/>
    <w:multiLevelType w:val="hybridMultilevel"/>
    <w:tmpl w:val="CEE241C2"/>
    <w:lvl w:ilvl="0" w:tplc="1C88DA4C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4572D76"/>
    <w:multiLevelType w:val="hybridMultilevel"/>
    <w:tmpl w:val="9DE0183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567BD7"/>
    <w:multiLevelType w:val="hybridMultilevel"/>
    <w:tmpl w:val="553E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64B05"/>
    <w:multiLevelType w:val="hybridMultilevel"/>
    <w:tmpl w:val="A5AA0D28"/>
    <w:lvl w:ilvl="0" w:tplc="2722A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173D5"/>
    <w:multiLevelType w:val="hybridMultilevel"/>
    <w:tmpl w:val="169476B0"/>
    <w:lvl w:ilvl="0" w:tplc="1C88DA4C">
      <w:start w:val="1"/>
      <w:numFmt w:val="bullet"/>
      <w:lvlText w:val="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6B3A5622"/>
    <w:multiLevelType w:val="hybridMultilevel"/>
    <w:tmpl w:val="51405C6C"/>
    <w:lvl w:ilvl="0" w:tplc="1C88DA4C">
      <w:start w:val="1"/>
      <w:numFmt w:val="bullet"/>
      <w:lvlText w:val="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C9"/>
    <w:rsid w:val="00006BA3"/>
    <w:rsid w:val="000B1684"/>
    <w:rsid w:val="000D6A2E"/>
    <w:rsid w:val="001662B9"/>
    <w:rsid w:val="001B0801"/>
    <w:rsid w:val="0021434D"/>
    <w:rsid w:val="004812F8"/>
    <w:rsid w:val="0070129A"/>
    <w:rsid w:val="00777C74"/>
    <w:rsid w:val="00787CC3"/>
    <w:rsid w:val="00792013"/>
    <w:rsid w:val="007E023E"/>
    <w:rsid w:val="00897CA6"/>
    <w:rsid w:val="008A4DC9"/>
    <w:rsid w:val="00B2677E"/>
    <w:rsid w:val="00BC1EA5"/>
    <w:rsid w:val="00C56C87"/>
    <w:rsid w:val="00C77534"/>
    <w:rsid w:val="00D43105"/>
    <w:rsid w:val="00D83E7B"/>
    <w:rsid w:val="00E34970"/>
    <w:rsid w:val="00E763E5"/>
    <w:rsid w:val="00ED712B"/>
    <w:rsid w:val="00E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2634"/>
  <w15:chartTrackingRefBased/>
  <w15:docId w15:val="{D3F4BB59-41D6-4AE7-AA82-616911F9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2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20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92013"/>
  </w:style>
  <w:style w:type="paragraph" w:styleId="a3">
    <w:name w:val="Normal (Web)"/>
    <w:basedOn w:val="a"/>
    <w:uiPriority w:val="99"/>
    <w:semiHidden/>
    <w:unhideWhenUsed/>
    <w:rsid w:val="0000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143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30">
    <w:name w:val="Основной текст с отступом 3 Знак"/>
    <w:basedOn w:val="a0"/>
    <w:link w:val="3"/>
    <w:rsid w:val="0021434D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4">
    <w:name w:val="header"/>
    <w:basedOn w:val="a"/>
    <w:link w:val="a5"/>
    <w:uiPriority w:val="99"/>
    <w:rsid w:val="002143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21434D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ys">
    <w:name w:val="dys"/>
    <w:basedOn w:val="a6"/>
    <w:rsid w:val="0021434D"/>
    <w:pPr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1">
    <w:name w:val="Обычный1"/>
    <w:rsid w:val="002143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21434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1434D"/>
  </w:style>
  <w:style w:type="paragraph" w:styleId="a8">
    <w:name w:val="List Paragraph"/>
    <w:basedOn w:val="a"/>
    <w:uiPriority w:val="34"/>
    <w:qFormat/>
    <w:rsid w:val="00777C74"/>
    <w:pPr>
      <w:ind w:left="720"/>
      <w:contextualSpacing/>
    </w:pPr>
  </w:style>
  <w:style w:type="paragraph" w:styleId="a9">
    <w:name w:val="endnote text"/>
    <w:basedOn w:val="a"/>
    <w:link w:val="aa"/>
    <w:semiHidden/>
    <w:rsid w:val="00C77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a">
    <w:name w:val="Текст концевой сноски Знак"/>
    <w:basedOn w:val="a0"/>
    <w:link w:val="a9"/>
    <w:semiHidden/>
    <w:rsid w:val="00C77534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b">
    <w:name w:val="Emphasis"/>
    <w:basedOn w:val="a0"/>
    <w:uiPriority w:val="20"/>
    <w:qFormat/>
    <w:rsid w:val="001662B9"/>
    <w:rPr>
      <w:i/>
      <w:iCs/>
    </w:rPr>
  </w:style>
  <w:style w:type="paragraph" w:styleId="ac">
    <w:name w:val="Title"/>
    <w:basedOn w:val="a"/>
    <w:link w:val="ad"/>
    <w:qFormat/>
    <w:rsid w:val="00C56C87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pacing w:val="40"/>
      <w:sz w:val="24"/>
      <w:szCs w:val="20"/>
      <w:lang w:val="uk-UA" w:eastAsia="uk-UA"/>
    </w:rPr>
  </w:style>
  <w:style w:type="character" w:customStyle="1" w:styleId="ad">
    <w:name w:val="Заголовок Знак"/>
    <w:basedOn w:val="a0"/>
    <w:link w:val="ac"/>
    <w:rsid w:val="00C56C87"/>
    <w:rPr>
      <w:rFonts w:ascii="Times New Roman" w:eastAsia="Times New Roman" w:hAnsi="Times New Roman" w:cs="Times New Roman"/>
      <w:b/>
      <w:caps/>
      <w:spacing w:val="40"/>
      <w:sz w:val="24"/>
      <w:szCs w:val="20"/>
      <w:lang w:val="uk-UA" w:eastAsia="uk-UA"/>
    </w:rPr>
  </w:style>
  <w:style w:type="table" w:styleId="ae">
    <w:name w:val="Table Grid"/>
    <w:basedOn w:val="a1"/>
    <w:uiPriority w:val="39"/>
    <w:rsid w:val="00ED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2023-03-22T13:54:00Z</dcterms:created>
  <dcterms:modified xsi:type="dcterms:W3CDTF">2023-03-22T14:35:00Z</dcterms:modified>
</cp:coreProperties>
</file>