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F59A" w14:textId="347BFBC6" w:rsidR="00277211" w:rsidRPr="00277211" w:rsidRDefault="00277211" w:rsidP="002D54BA">
      <w:pPr>
        <w:autoSpaceDN w:val="0"/>
        <w:spacing w:after="0" w:line="240" w:lineRule="auto"/>
        <w:jc w:val="right"/>
        <w:rPr>
          <w:rFonts w:ascii="Times New Roman" w:eastAsia="Times New Roman" w:hAnsi="Times New Roman" w:cs="Times New Roman"/>
          <w:sz w:val="28"/>
          <w:szCs w:val="28"/>
          <w:lang w:val="uk-UA" w:eastAsia="ru-RU"/>
        </w:rPr>
      </w:pPr>
      <w:proofErr w:type="spellStart"/>
      <w:r w:rsidRPr="00277211">
        <w:rPr>
          <w:rFonts w:ascii="Times New Roman" w:eastAsia="Times New Roman" w:hAnsi="Times New Roman" w:cs="Times New Roman"/>
          <w:sz w:val="28"/>
          <w:szCs w:val="28"/>
          <w:lang w:val="uk-UA" w:eastAsia="ru-RU"/>
        </w:rPr>
        <w:t>Хмелюк</w:t>
      </w:r>
      <w:proofErr w:type="spellEnd"/>
      <w:r w:rsidRPr="00277211">
        <w:rPr>
          <w:rFonts w:ascii="Times New Roman" w:eastAsia="Times New Roman" w:hAnsi="Times New Roman" w:cs="Times New Roman"/>
          <w:sz w:val="28"/>
          <w:szCs w:val="28"/>
          <w:lang w:val="uk-UA" w:eastAsia="ru-RU"/>
        </w:rPr>
        <w:t xml:space="preserve"> Альона Василівна, </w:t>
      </w:r>
      <w:proofErr w:type="spellStart"/>
      <w:r w:rsidRPr="00277211">
        <w:rPr>
          <w:rFonts w:ascii="Times New Roman" w:eastAsia="Times New Roman" w:hAnsi="Times New Roman" w:cs="Times New Roman"/>
          <w:sz w:val="28"/>
          <w:szCs w:val="28"/>
          <w:lang w:val="uk-UA" w:eastAsia="ru-RU"/>
        </w:rPr>
        <w:t>к.е.н</w:t>
      </w:r>
      <w:proofErr w:type="spellEnd"/>
      <w:r w:rsidRPr="00277211">
        <w:rPr>
          <w:rFonts w:ascii="Times New Roman" w:eastAsia="Times New Roman" w:hAnsi="Times New Roman" w:cs="Times New Roman"/>
          <w:sz w:val="28"/>
          <w:szCs w:val="28"/>
          <w:lang w:val="uk-UA" w:eastAsia="ru-RU"/>
        </w:rPr>
        <w:t xml:space="preserve">., доцент </w:t>
      </w:r>
    </w:p>
    <w:p w14:paraId="2A59BD09" w14:textId="77777777" w:rsidR="00277211" w:rsidRPr="00277211" w:rsidRDefault="00277211" w:rsidP="002D54BA">
      <w:pPr>
        <w:autoSpaceDN w:val="0"/>
        <w:spacing w:after="0" w:line="240" w:lineRule="auto"/>
        <w:jc w:val="right"/>
        <w:rPr>
          <w:rFonts w:ascii="Times New Roman" w:eastAsia="Times New Roman" w:hAnsi="Times New Roman" w:cs="Times New Roman"/>
          <w:sz w:val="28"/>
          <w:szCs w:val="28"/>
          <w:lang w:val="uk-UA" w:eastAsia="ru-RU"/>
        </w:rPr>
      </w:pPr>
      <w:r w:rsidRPr="00277211">
        <w:rPr>
          <w:rFonts w:ascii="Times New Roman" w:eastAsia="Times New Roman" w:hAnsi="Times New Roman" w:cs="Times New Roman"/>
          <w:sz w:val="28"/>
          <w:szCs w:val="28"/>
          <w:lang w:val="uk-UA" w:eastAsia="ru-RU"/>
        </w:rPr>
        <w:t>Кафедра фінансів та обліку</w:t>
      </w:r>
    </w:p>
    <w:p w14:paraId="4FB5BC90" w14:textId="77777777" w:rsidR="00277211" w:rsidRPr="00277211" w:rsidRDefault="00277211" w:rsidP="002D54BA">
      <w:pPr>
        <w:autoSpaceDN w:val="0"/>
        <w:spacing w:after="0" w:line="240" w:lineRule="auto"/>
        <w:jc w:val="right"/>
        <w:rPr>
          <w:rFonts w:ascii="Times New Roman" w:eastAsia="Times New Roman" w:hAnsi="Times New Roman" w:cs="Times New Roman"/>
          <w:sz w:val="28"/>
          <w:szCs w:val="28"/>
          <w:lang w:val="uk-UA" w:eastAsia="ru-RU"/>
        </w:rPr>
      </w:pPr>
      <w:r w:rsidRPr="00277211">
        <w:rPr>
          <w:rFonts w:ascii="Times New Roman" w:eastAsia="Times New Roman" w:hAnsi="Times New Roman" w:cs="Times New Roman"/>
          <w:sz w:val="28"/>
          <w:szCs w:val="28"/>
          <w:lang w:val="uk-UA" w:eastAsia="ru-RU"/>
        </w:rPr>
        <w:t>Дніпровський державний технічний університет</w:t>
      </w:r>
    </w:p>
    <w:p w14:paraId="0A0FC64B" w14:textId="77777777" w:rsidR="00277211" w:rsidRPr="00277211" w:rsidRDefault="00277211" w:rsidP="002D54BA">
      <w:pPr>
        <w:autoSpaceDN w:val="0"/>
        <w:spacing w:after="0" w:line="240" w:lineRule="auto"/>
        <w:jc w:val="right"/>
        <w:rPr>
          <w:rFonts w:ascii="Times New Roman" w:eastAsia="Times New Roman" w:hAnsi="Times New Roman" w:cs="Times New Roman"/>
          <w:sz w:val="28"/>
          <w:szCs w:val="28"/>
          <w:lang w:val="uk-UA" w:eastAsia="ru-RU"/>
        </w:rPr>
      </w:pPr>
      <w:r w:rsidRPr="00277211">
        <w:rPr>
          <w:rFonts w:ascii="Times New Roman" w:eastAsia="Times New Roman" w:hAnsi="Times New Roman" w:cs="Times New Roman"/>
          <w:sz w:val="28"/>
          <w:szCs w:val="28"/>
          <w:lang w:val="uk-UA" w:eastAsia="ru-RU"/>
        </w:rPr>
        <w:t>ORCID ID/0000-0001-7367-4928</w:t>
      </w:r>
    </w:p>
    <w:p w14:paraId="1A36E6E4" w14:textId="1BED1C60" w:rsidR="00277211" w:rsidRPr="00277211" w:rsidRDefault="00C54A66" w:rsidP="002D54BA">
      <w:pPr>
        <w:autoSpaceDN w:val="0"/>
        <w:spacing w:after="0" w:line="240" w:lineRule="auto"/>
        <w:jc w:val="right"/>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Недебельська</w:t>
      </w:r>
      <w:proofErr w:type="spellEnd"/>
      <w:r>
        <w:rPr>
          <w:rFonts w:ascii="Times New Roman" w:eastAsia="Times New Roman" w:hAnsi="Times New Roman" w:cs="Times New Roman"/>
          <w:sz w:val="28"/>
          <w:szCs w:val="28"/>
          <w:lang w:val="uk-UA" w:eastAsia="ru-RU"/>
        </w:rPr>
        <w:t xml:space="preserve"> Дарія</w:t>
      </w:r>
    </w:p>
    <w:p w14:paraId="474482C8" w14:textId="6DDE3A08" w:rsidR="00277211" w:rsidRPr="00277211" w:rsidRDefault="00277211" w:rsidP="002D54BA">
      <w:pPr>
        <w:autoSpaceDN w:val="0"/>
        <w:spacing w:after="0" w:line="240" w:lineRule="auto"/>
        <w:jc w:val="right"/>
        <w:rPr>
          <w:rFonts w:ascii="Times New Roman" w:eastAsia="Times New Roman" w:hAnsi="Times New Roman" w:cs="Times New Roman"/>
          <w:sz w:val="28"/>
          <w:szCs w:val="28"/>
          <w:lang w:val="uk-UA" w:eastAsia="ru-RU"/>
        </w:rPr>
      </w:pPr>
      <w:r w:rsidRPr="00277211">
        <w:rPr>
          <w:rFonts w:ascii="Times New Roman" w:eastAsia="Times New Roman" w:hAnsi="Times New Roman" w:cs="Times New Roman"/>
          <w:sz w:val="28"/>
          <w:szCs w:val="28"/>
          <w:lang w:val="uk-UA" w:eastAsia="ru-RU"/>
        </w:rPr>
        <w:t>здобув</w:t>
      </w:r>
      <w:r w:rsidR="005109CF">
        <w:rPr>
          <w:rFonts w:ascii="Times New Roman" w:eastAsia="Times New Roman" w:hAnsi="Times New Roman" w:cs="Times New Roman"/>
          <w:sz w:val="28"/>
          <w:szCs w:val="28"/>
          <w:lang w:val="uk-UA" w:eastAsia="ru-RU"/>
        </w:rPr>
        <w:t>ач</w:t>
      </w:r>
      <w:r w:rsidR="008148FA">
        <w:rPr>
          <w:rFonts w:ascii="Times New Roman" w:eastAsia="Times New Roman" w:hAnsi="Times New Roman" w:cs="Times New Roman"/>
          <w:sz w:val="28"/>
          <w:szCs w:val="28"/>
          <w:lang w:val="uk-UA" w:eastAsia="ru-RU"/>
        </w:rPr>
        <w:t>ка</w:t>
      </w:r>
      <w:r w:rsidRPr="00277211">
        <w:rPr>
          <w:rFonts w:ascii="Times New Roman" w:eastAsia="Times New Roman" w:hAnsi="Times New Roman" w:cs="Times New Roman"/>
          <w:sz w:val="28"/>
          <w:szCs w:val="28"/>
          <w:lang w:val="uk-UA" w:eastAsia="ru-RU"/>
        </w:rPr>
        <w:t xml:space="preserve"> гр. ОП-2</w:t>
      </w:r>
      <w:r w:rsidR="005109CF">
        <w:rPr>
          <w:rFonts w:ascii="Times New Roman" w:eastAsia="Times New Roman" w:hAnsi="Times New Roman" w:cs="Times New Roman"/>
          <w:sz w:val="28"/>
          <w:szCs w:val="28"/>
          <w:lang w:val="uk-UA" w:eastAsia="ru-RU"/>
        </w:rPr>
        <w:t>2</w:t>
      </w:r>
      <w:r w:rsidRPr="00277211">
        <w:rPr>
          <w:rFonts w:ascii="Times New Roman" w:eastAsia="Times New Roman" w:hAnsi="Times New Roman" w:cs="Times New Roman"/>
          <w:sz w:val="28"/>
          <w:szCs w:val="28"/>
          <w:lang w:val="uk-UA" w:eastAsia="ru-RU"/>
        </w:rPr>
        <w:t>-1д</w:t>
      </w:r>
      <w:r w:rsidR="005109CF">
        <w:rPr>
          <w:rFonts w:ascii="Times New Roman" w:eastAsia="Times New Roman" w:hAnsi="Times New Roman" w:cs="Times New Roman"/>
          <w:sz w:val="28"/>
          <w:szCs w:val="28"/>
          <w:lang w:val="uk-UA" w:eastAsia="ru-RU"/>
        </w:rPr>
        <w:t>у</w:t>
      </w:r>
    </w:p>
    <w:p w14:paraId="2A5A1736" w14:textId="23EF6B77" w:rsidR="00277211" w:rsidRDefault="00277211" w:rsidP="002D54BA">
      <w:pPr>
        <w:autoSpaceDN w:val="0"/>
        <w:spacing w:after="0" w:line="360" w:lineRule="auto"/>
        <w:ind w:firstLine="709"/>
        <w:jc w:val="right"/>
        <w:rPr>
          <w:rFonts w:ascii="Times New Roman" w:eastAsia="Times New Roman" w:hAnsi="Times New Roman" w:cs="Times New Roman"/>
          <w:sz w:val="28"/>
          <w:szCs w:val="28"/>
          <w:lang w:val="uk-UA" w:eastAsia="ru-RU"/>
        </w:rPr>
      </w:pPr>
      <w:r w:rsidRPr="00277211">
        <w:rPr>
          <w:rFonts w:ascii="Times New Roman" w:eastAsia="Times New Roman" w:hAnsi="Times New Roman" w:cs="Times New Roman"/>
          <w:sz w:val="28"/>
          <w:szCs w:val="28"/>
          <w:lang w:val="uk-UA" w:eastAsia="ru-RU"/>
        </w:rPr>
        <w:t>Дніпровський державний технічний університет</w:t>
      </w:r>
    </w:p>
    <w:p w14:paraId="32FA890D" w14:textId="313C661D" w:rsidR="005109CF" w:rsidRPr="008148FA" w:rsidRDefault="008148FA" w:rsidP="002D54BA">
      <w:pPr>
        <w:autoSpaceDN w:val="0"/>
        <w:spacing w:after="0" w:line="360" w:lineRule="auto"/>
        <w:ind w:firstLine="709"/>
        <w:jc w:val="center"/>
        <w:rPr>
          <w:rFonts w:ascii="Times New Roman" w:eastAsia="SimSun" w:hAnsi="Times New Roman" w:cs="Times New Roman"/>
          <w:b/>
          <w:bCs/>
          <w:kern w:val="3"/>
          <w:sz w:val="28"/>
          <w:szCs w:val="28"/>
          <w:lang w:val="uk-UA"/>
        </w:rPr>
      </w:pPr>
      <w:r>
        <w:rPr>
          <w:rFonts w:ascii="Times New Roman" w:eastAsia="SimSun" w:hAnsi="Times New Roman" w:cs="Times New Roman"/>
          <w:b/>
          <w:bCs/>
          <w:kern w:val="3"/>
          <w:sz w:val="28"/>
          <w:szCs w:val="28"/>
          <w:lang w:val="uk-UA"/>
        </w:rPr>
        <w:t>ОРГАНІЗАЦІЯ ОБЛІКУ</w:t>
      </w:r>
      <w:r w:rsidR="005D25D0">
        <w:rPr>
          <w:rFonts w:ascii="Times New Roman" w:eastAsia="SimSun" w:hAnsi="Times New Roman" w:cs="Times New Roman"/>
          <w:b/>
          <w:bCs/>
          <w:kern w:val="3"/>
          <w:sz w:val="28"/>
          <w:szCs w:val="28"/>
          <w:lang w:val="uk-UA"/>
        </w:rPr>
        <w:t xml:space="preserve"> ТОРГІВЕЛЬНИХ ОПЕРАЦІЙ</w:t>
      </w:r>
    </w:p>
    <w:p w14:paraId="5C87A861" w14:textId="77777777" w:rsidR="005D25D0" w:rsidRDefault="005D25D0" w:rsidP="005D25D0">
      <w:pPr>
        <w:spacing w:after="0" w:line="360" w:lineRule="auto"/>
        <w:ind w:firstLine="709"/>
        <w:jc w:val="both"/>
        <w:rPr>
          <w:rFonts w:ascii="Times New Roman" w:eastAsia="Times New Roman" w:hAnsi="Times New Roman" w:cs="Times New Roman"/>
          <w:sz w:val="28"/>
          <w:szCs w:val="28"/>
          <w:lang w:val="uk-UA" w:eastAsia="uk-UA"/>
        </w:rPr>
      </w:pPr>
    </w:p>
    <w:p w14:paraId="5F6D7291" w14:textId="4F92C185" w:rsidR="002D54BA" w:rsidRDefault="005D25D0" w:rsidP="005D25D0">
      <w:pPr>
        <w:spacing w:after="0" w:line="360" w:lineRule="auto"/>
        <w:ind w:firstLine="709"/>
        <w:jc w:val="both"/>
        <w:rPr>
          <w:rFonts w:ascii="Times New Roman" w:eastAsia="Times New Roman" w:hAnsi="Times New Roman" w:cs="Times New Roman"/>
          <w:sz w:val="28"/>
          <w:szCs w:val="28"/>
          <w:lang w:val="uk-UA" w:eastAsia="uk-UA"/>
        </w:rPr>
      </w:pPr>
      <w:r w:rsidRPr="005D25D0">
        <w:rPr>
          <w:rFonts w:ascii="Times New Roman" w:eastAsia="Times New Roman" w:hAnsi="Times New Roman" w:cs="Times New Roman"/>
          <w:sz w:val="28"/>
          <w:szCs w:val="28"/>
          <w:lang w:val="uk-UA" w:eastAsia="uk-UA"/>
        </w:rPr>
        <w:t>Організація бухгалтерського обліку ТОВ “ТРИТОН” здійснюється відповідно до вимог Закону України «Про бухгалтерський облік і фінансову звітність в Україні» від 16.07.99р. №996-XIV [</w:t>
      </w:r>
      <w:r>
        <w:rPr>
          <w:rFonts w:ascii="Times New Roman" w:eastAsia="Times New Roman" w:hAnsi="Times New Roman" w:cs="Times New Roman"/>
          <w:sz w:val="28"/>
          <w:szCs w:val="28"/>
          <w:lang w:val="uk-UA" w:eastAsia="uk-UA"/>
        </w:rPr>
        <w:t>1</w:t>
      </w:r>
      <w:r w:rsidRPr="005D25D0">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Pr="005D25D0">
        <w:rPr>
          <w:rFonts w:ascii="Times New Roman" w:eastAsia="Times New Roman" w:hAnsi="Times New Roman" w:cs="Times New Roman"/>
          <w:sz w:val="28"/>
          <w:szCs w:val="28"/>
          <w:lang w:val="uk-UA" w:eastAsia="uk-UA"/>
        </w:rPr>
        <w:t>Згідно даного закону</w:t>
      </w:r>
      <w:r>
        <w:rPr>
          <w:rFonts w:ascii="Times New Roman" w:eastAsia="Times New Roman" w:hAnsi="Times New Roman" w:cs="Times New Roman"/>
          <w:sz w:val="28"/>
          <w:szCs w:val="28"/>
          <w:lang w:val="uk-UA" w:eastAsia="uk-UA"/>
        </w:rPr>
        <w:t xml:space="preserve"> та</w:t>
      </w:r>
      <w:r w:rsidRPr="005D25D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національних </w:t>
      </w:r>
      <w:r w:rsidRPr="005D25D0">
        <w:rPr>
          <w:rFonts w:ascii="Times New Roman" w:eastAsia="Times New Roman" w:hAnsi="Times New Roman" w:cs="Times New Roman"/>
          <w:sz w:val="28"/>
          <w:szCs w:val="28"/>
          <w:lang w:val="uk-UA" w:eastAsia="uk-UA"/>
        </w:rPr>
        <w:t xml:space="preserve">положень бухгалтерського обліку, на підприємстві видається Наказ про облікову політику підприємства й організації бухгалтерського обліку №01, у якому </w:t>
      </w:r>
      <w:r>
        <w:rPr>
          <w:rFonts w:ascii="Times New Roman" w:eastAsia="Times New Roman" w:hAnsi="Times New Roman" w:cs="Times New Roman"/>
          <w:sz w:val="28"/>
          <w:szCs w:val="28"/>
          <w:lang w:val="uk-UA" w:eastAsia="uk-UA"/>
        </w:rPr>
        <w:t>зазначено основні принципи</w:t>
      </w:r>
      <w:r w:rsidRPr="005D25D0">
        <w:rPr>
          <w:rFonts w:ascii="Times New Roman" w:eastAsia="Times New Roman" w:hAnsi="Times New Roman" w:cs="Times New Roman"/>
          <w:sz w:val="28"/>
          <w:szCs w:val="28"/>
          <w:lang w:val="uk-UA" w:eastAsia="uk-UA"/>
        </w:rPr>
        <w:t xml:space="preserve"> ведення облікової політики на підприємстві. Насамперед, вони стосуються застосування робочого плану рахунків. Наказом визначено застосування робочого плану рахунків у відповідності з діяльністю підприємства, розроблений на основі Плану рахунків, затвердженого Міністерством фінансів України від 30.11.99р № 291 [</w:t>
      </w:r>
      <w:r>
        <w:rPr>
          <w:rFonts w:ascii="Times New Roman" w:eastAsia="Times New Roman" w:hAnsi="Times New Roman" w:cs="Times New Roman"/>
          <w:sz w:val="28"/>
          <w:szCs w:val="28"/>
          <w:lang w:val="uk-UA" w:eastAsia="uk-UA"/>
        </w:rPr>
        <w:t>2</w:t>
      </w:r>
      <w:r w:rsidRPr="005D25D0">
        <w:rPr>
          <w:rFonts w:ascii="Times New Roman" w:eastAsia="Times New Roman" w:hAnsi="Times New Roman" w:cs="Times New Roman"/>
          <w:sz w:val="28"/>
          <w:szCs w:val="28"/>
          <w:lang w:val="uk-UA" w:eastAsia="uk-UA"/>
        </w:rPr>
        <w:t>].</w:t>
      </w:r>
    </w:p>
    <w:p w14:paraId="38AA26A9" w14:textId="26A614CC" w:rsidR="00961769" w:rsidRPr="00961769" w:rsidRDefault="00961769" w:rsidP="00961769">
      <w:pPr>
        <w:spacing w:after="0" w:line="360" w:lineRule="auto"/>
        <w:ind w:firstLine="709"/>
        <w:jc w:val="both"/>
        <w:rPr>
          <w:rFonts w:ascii="Times New Roman" w:eastAsia="Times New Roman" w:hAnsi="Times New Roman" w:cs="Times New Roman"/>
          <w:sz w:val="28"/>
          <w:szCs w:val="28"/>
          <w:lang w:val="uk-UA"/>
        </w:rPr>
      </w:pPr>
      <w:r w:rsidRPr="00961769">
        <w:rPr>
          <w:rFonts w:ascii="Times New Roman" w:eastAsia="Times New Roman" w:hAnsi="Times New Roman" w:cs="Times New Roman"/>
          <w:sz w:val="28"/>
          <w:szCs w:val="28"/>
          <w:lang w:val="uk-UA"/>
        </w:rPr>
        <w:t xml:space="preserve">Особливості організації обліку на ТОВ "Тритон" визначимо здійснивши аналіз обліково-аналітичного відображення господарських операцій на основі </w:t>
      </w:r>
      <w:proofErr w:type="spellStart"/>
      <w:r w:rsidR="007A424E">
        <w:rPr>
          <w:rFonts w:ascii="Times New Roman" w:eastAsia="Times New Roman" w:hAnsi="Times New Roman" w:cs="Times New Roman"/>
          <w:sz w:val="28"/>
          <w:szCs w:val="28"/>
          <w:lang w:val="uk-UA"/>
        </w:rPr>
        <w:t>О</w:t>
      </w:r>
      <w:r w:rsidRPr="00961769">
        <w:rPr>
          <w:rFonts w:ascii="Times New Roman" w:eastAsia="Times New Roman" w:hAnsi="Times New Roman" w:cs="Times New Roman"/>
          <w:sz w:val="28"/>
          <w:szCs w:val="28"/>
          <w:lang w:val="uk-UA"/>
        </w:rPr>
        <w:t>боротно</w:t>
      </w:r>
      <w:proofErr w:type="spellEnd"/>
      <w:r w:rsidRPr="00961769">
        <w:rPr>
          <w:rFonts w:ascii="Times New Roman" w:eastAsia="Times New Roman" w:hAnsi="Times New Roman" w:cs="Times New Roman"/>
          <w:sz w:val="28"/>
          <w:szCs w:val="28"/>
          <w:lang w:val="uk-UA"/>
        </w:rPr>
        <w:t>-сальдової відомості за серпень 2023 року</w:t>
      </w:r>
      <w:r>
        <w:rPr>
          <w:rFonts w:ascii="Times New Roman" w:eastAsia="Times New Roman" w:hAnsi="Times New Roman" w:cs="Times New Roman"/>
          <w:sz w:val="28"/>
          <w:szCs w:val="28"/>
          <w:lang w:val="uk-UA"/>
        </w:rPr>
        <w:t>. Отже, м</w:t>
      </w:r>
      <w:r w:rsidRPr="00961769">
        <w:rPr>
          <w:rFonts w:ascii="Times New Roman" w:eastAsia="Times New Roman" w:hAnsi="Times New Roman" w:cs="Times New Roman"/>
          <w:sz w:val="28"/>
          <w:szCs w:val="28"/>
          <w:lang w:val="uk-UA"/>
        </w:rPr>
        <w:t>ожна зробити такі висновки щодо організації обліку на ТОВ "Тритон":</w:t>
      </w:r>
    </w:p>
    <w:p w14:paraId="62DCB7F3" w14:textId="77777777" w:rsidR="00961769" w:rsidRPr="00961769" w:rsidRDefault="00961769" w:rsidP="00961769">
      <w:pPr>
        <w:spacing w:after="0" w:line="360" w:lineRule="auto"/>
        <w:ind w:firstLine="709"/>
        <w:jc w:val="both"/>
        <w:rPr>
          <w:rFonts w:ascii="Times New Roman" w:eastAsia="Times New Roman" w:hAnsi="Times New Roman" w:cs="Times New Roman"/>
          <w:sz w:val="28"/>
          <w:szCs w:val="28"/>
          <w:lang w:val="uk-UA"/>
        </w:rPr>
      </w:pPr>
      <w:r w:rsidRPr="00961769">
        <w:rPr>
          <w:rFonts w:ascii="Times New Roman" w:eastAsia="Times New Roman" w:hAnsi="Times New Roman" w:cs="Times New Roman"/>
          <w:sz w:val="28"/>
          <w:szCs w:val="28"/>
          <w:lang w:val="uk-UA"/>
        </w:rPr>
        <w:t>Організація обліку на ТОВ "Тритон" відповідає вимогам бухгалтерського обліку та фінансової звітності. Підприємство веде облік усіх важливих аспектів своєї діяльності, включаючи облік необоротних та оборотних активів, власного капіталу, зобов'язань, доходів та витрат. Це свідчить про структурованість та систематичність підходу до обліку, що є запорукою ефективного управління та прийняття обґрунтованих фінансових рішень.</w:t>
      </w:r>
    </w:p>
    <w:p w14:paraId="2F4A8ABA" w14:textId="6F9306DA" w:rsidR="00961769" w:rsidRPr="00961769" w:rsidRDefault="00961769" w:rsidP="00961769">
      <w:pPr>
        <w:spacing w:after="0" w:line="360" w:lineRule="auto"/>
        <w:ind w:firstLine="709"/>
        <w:jc w:val="both"/>
        <w:rPr>
          <w:rFonts w:ascii="Times New Roman" w:eastAsia="Times New Roman" w:hAnsi="Times New Roman" w:cs="Times New Roman"/>
          <w:sz w:val="28"/>
          <w:szCs w:val="28"/>
          <w:lang w:val="uk-UA"/>
        </w:rPr>
      </w:pPr>
      <w:r w:rsidRPr="00961769">
        <w:rPr>
          <w:rFonts w:ascii="Times New Roman" w:eastAsia="Times New Roman" w:hAnsi="Times New Roman" w:cs="Times New Roman"/>
          <w:sz w:val="28"/>
          <w:szCs w:val="28"/>
          <w:lang w:val="uk-UA"/>
        </w:rPr>
        <w:t xml:space="preserve">Аналіз облікових даних за рахунком 36 (Розрахунки з покупцями і замовниками) свідчить, що відбулося збільшення дебіторської заборгованості: на початок періоду сума дебіторської заборгованості складала 518787,41 грн., а </w:t>
      </w:r>
      <w:r w:rsidRPr="00961769">
        <w:rPr>
          <w:rFonts w:ascii="Times New Roman" w:eastAsia="Times New Roman" w:hAnsi="Times New Roman" w:cs="Times New Roman"/>
          <w:sz w:val="28"/>
          <w:szCs w:val="28"/>
          <w:lang w:val="uk-UA"/>
        </w:rPr>
        <w:lastRenderedPageBreak/>
        <w:t>на кінець періоду вона зменшилась до 284705, 69 грн. Завдяки тому, що кредитові обороти (надходження грошових коштів від покупців) перевищують дебетові обороти, підприємство змогло зменшити залишок дебіторської заборгованості. Це позитивно впливає на ліквідність та фінансову стійкість підприємства.</w:t>
      </w:r>
    </w:p>
    <w:p w14:paraId="5ACD28C1" w14:textId="77777777" w:rsidR="00961769" w:rsidRPr="00961769" w:rsidRDefault="00961769" w:rsidP="00961769">
      <w:pPr>
        <w:spacing w:after="0" w:line="360" w:lineRule="auto"/>
        <w:ind w:firstLine="709"/>
        <w:jc w:val="both"/>
        <w:rPr>
          <w:rFonts w:ascii="Times New Roman" w:eastAsia="Times New Roman" w:hAnsi="Times New Roman" w:cs="Times New Roman"/>
          <w:sz w:val="28"/>
          <w:szCs w:val="28"/>
          <w:lang w:val="uk-UA"/>
        </w:rPr>
      </w:pPr>
      <w:r w:rsidRPr="00961769">
        <w:rPr>
          <w:rFonts w:ascii="Times New Roman" w:eastAsia="Times New Roman" w:hAnsi="Times New Roman" w:cs="Times New Roman"/>
          <w:sz w:val="28"/>
          <w:szCs w:val="28"/>
          <w:lang w:val="uk-UA"/>
        </w:rPr>
        <w:t>Слід акцентувати про значні обороти за рахунком 37, які вказують на активні операції з різними дебіторами. Дебетові обороти становили 396801,37 грн., що відповідає кредитовим оборотам 396201,37 грн. Це свідчить про збалансованість розрахунків. Основну частину розрахунків за рахунком 37 становлять аванси видані (рахунок 371) та розрахунки з підзвітними особами (рахунок 372). Це свідчить про те, що підприємство активно працює з авансами і підзвітними особами, підтримуючи належний контроль за їх використанням.</w:t>
      </w:r>
    </w:p>
    <w:p w14:paraId="0BA158D2" w14:textId="77777777" w:rsidR="00961769" w:rsidRPr="00961769" w:rsidRDefault="00961769" w:rsidP="00961769">
      <w:pPr>
        <w:spacing w:after="0" w:line="360" w:lineRule="auto"/>
        <w:ind w:firstLine="709"/>
        <w:jc w:val="both"/>
        <w:rPr>
          <w:rFonts w:ascii="Times New Roman" w:eastAsia="Times New Roman" w:hAnsi="Times New Roman" w:cs="Times New Roman"/>
          <w:sz w:val="28"/>
          <w:szCs w:val="28"/>
          <w:lang w:val="uk-UA"/>
        </w:rPr>
      </w:pPr>
      <w:r w:rsidRPr="00961769">
        <w:rPr>
          <w:rFonts w:ascii="Times New Roman" w:eastAsia="Times New Roman" w:hAnsi="Times New Roman" w:cs="Times New Roman"/>
          <w:sz w:val="28"/>
          <w:szCs w:val="28"/>
          <w:lang w:val="uk-UA"/>
        </w:rPr>
        <w:t>Таким чином, необхідно відмітити, що ТОВ "Тритон" ефективно управляє розрахунками з покупцями, замовниками та різними дебіторами. Підприємство має активні торговельні операції та вчасно збирає дебіторську заборгованість, що позитивно впливає на його фінансовий стан. Стабільність розрахунків за рахунком 37 і зменшення дебіторської заборгованості за рахунком 36 свідчать про грамотну політику управління дебіторами.</w:t>
      </w:r>
    </w:p>
    <w:p w14:paraId="70F5DF98" w14:textId="3B3D112F" w:rsidR="00961769" w:rsidRPr="00961769" w:rsidRDefault="00961769" w:rsidP="00961769">
      <w:pPr>
        <w:spacing w:after="0" w:line="360" w:lineRule="auto"/>
        <w:ind w:firstLine="709"/>
        <w:jc w:val="both"/>
        <w:rPr>
          <w:rFonts w:ascii="Times New Roman" w:eastAsia="Times New Roman" w:hAnsi="Times New Roman" w:cs="Times New Roman"/>
          <w:sz w:val="28"/>
          <w:szCs w:val="28"/>
          <w:lang w:val="uk-UA"/>
        </w:rPr>
      </w:pPr>
      <w:r w:rsidRPr="00961769">
        <w:rPr>
          <w:rFonts w:ascii="Times New Roman" w:eastAsia="Times New Roman" w:hAnsi="Times New Roman" w:cs="Times New Roman"/>
          <w:sz w:val="28"/>
          <w:szCs w:val="28"/>
          <w:lang w:val="uk-UA"/>
        </w:rPr>
        <w:t xml:space="preserve">Необхідно акцентувати, що значні обороти за рахунком 63 вказують на активну взаємодію з постачальниками та підрядниками. Дебетові обороти склали 518287,45 грн., а кредитові  481481,69 грн. Це свідчить про високу активність </w:t>
      </w:r>
      <w:proofErr w:type="spellStart"/>
      <w:r w:rsidRPr="00961769">
        <w:rPr>
          <w:rFonts w:ascii="Times New Roman" w:eastAsia="Times New Roman" w:hAnsi="Times New Roman" w:cs="Times New Roman"/>
          <w:sz w:val="28"/>
          <w:szCs w:val="28"/>
          <w:lang w:val="uk-UA"/>
        </w:rPr>
        <w:t>закупівель</w:t>
      </w:r>
      <w:proofErr w:type="spellEnd"/>
      <w:r w:rsidRPr="00961769">
        <w:rPr>
          <w:rFonts w:ascii="Times New Roman" w:eastAsia="Times New Roman" w:hAnsi="Times New Roman" w:cs="Times New Roman"/>
          <w:sz w:val="28"/>
          <w:szCs w:val="28"/>
          <w:lang w:val="uk-UA"/>
        </w:rPr>
        <w:t xml:space="preserve"> та </w:t>
      </w:r>
      <w:proofErr w:type="spellStart"/>
      <w:r w:rsidRPr="00961769">
        <w:rPr>
          <w:rFonts w:ascii="Times New Roman" w:eastAsia="Times New Roman" w:hAnsi="Times New Roman" w:cs="Times New Roman"/>
          <w:sz w:val="28"/>
          <w:szCs w:val="28"/>
          <w:lang w:val="uk-UA"/>
        </w:rPr>
        <w:t>оплат</w:t>
      </w:r>
      <w:proofErr w:type="spellEnd"/>
      <w:r w:rsidRPr="00961769">
        <w:rPr>
          <w:rFonts w:ascii="Times New Roman" w:eastAsia="Times New Roman" w:hAnsi="Times New Roman" w:cs="Times New Roman"/>
          <w:sz w:val="28"/>
          <w:szCs w:val="28"/>
          <w:lang w:val="uk-UA"/>
        </w:rPr>
        <w:t>. Позитивний баланс оборотів показує, що підприємство ефективно керує своїми зобов’язаннями і своєчасно розраховується з постачальниками, що позитивно впливає на його фінансову стабільність.</w:t>
      </w:r>
    </w:p>
    <w:p w14:paraId="238FCEC5" w14:textId="31E49F32" w:rsidR="00961769" w:rsidRPr="00961769" w:rsidRDefault="00961769" w:rsidP="00961769">
      <w:pPr>
        <w:spacing w:after="0" w:line="360" w:lineRule="auto"/>
        <w:ind w:firstLine="709"/>
        <w:jc w:val="both"/>
        <w:rPr>
          <w:rFonts w:ascii="Times New Roman" w:eastAsia="Times New Roman" w:hAnsi="Times New Roman" w:cs="Times New Roman"/>
          <w:sz w:val="28"/>
          <w:szCs w:val="28"/>
          <w:lang w:val="uk-UA"/>
        </w:rPr>
      </w:pPr>
      <w:r w:rsidRPr="00961769">
        <w:rPr>
          <w:rFonts w:ascii="Times New Roman" w:eastAsia="Times New Roman" w:hAnsi="Times New Roman" w:cs="Times New Roman"/>
          <w:sz w:val="28"/>
          <w:szCs w:val="28"/>
          <w:lang w:val="uk-UA"/>
        </w:rPr>
        <w:t xml:space="preserve">Аналіз облікових даних за рахунком 64 показує, що сальдо на початок періоду: Дебет: 1827,53 грн., обороти за період: Дебет: 356605,52 грн., Кредит: 341509,36 грн. Сальдо на кінець періоду: Дебет: 16923,69 грн. Отже, залишок дебіторської заборгованості за податками та </w:t>
      </w:r>
      <w:proofErr w:type="spellStart"/>
      <w:r w:rsidRPr="00961769">
        <w:rPr>
          <w:rFonts w:ascii="Times New Roman" w:eastAsia="Times New Roman" w:hAnsi="Times New Roman" w:cs="Times New Roman"/>
          <w:sz w:val="28"/>
          <w:szCs w:val="28"/>
          <w:lang w:val="uk-UA"/>
        </w:rPr>
        <w:t>платежами</w:t>
      </w:r>
      <w:proofErr w:type="spellEnd"/>
      <w:r w:rsidRPr="00961769">
        <w:rPr>
          <w:rFonts w:ascii="Times New Roman" w:eastAsia="Times New Roman" w:hAnsi="Times New Roman" w:cs="Times New Roman"/>
          <w:sz w:val="28"/>
          <w:szCs w:val="28"/>
          <w:lang w:val="uk-UA"/>
        </w:rPr>
        <w:t xml:space="preserve"> зріс з 1827,53 грн. на початок періоду до 16923,69 грн. на кінець періоду. Це може свідчити про тимчасові затримки в поверненні податків або платежів підприємству. Крім того, </w:t>
      </w:r>
      <w:r w:rsidRPr="00961769">
        <w:rPr>
          <w:rFonts w:ascii="Times New Roman" w:eastAsia="Times New Roman" w:hAnsi="Times New Roman" w:cs="Times New Roman"/>
          <w:sz w:val="28"/>
          <w:szCs w:val="28"/>
          <w:lang w:val="uk-UA"/>
        </w:rPr>
        <w:lastRenderedPageBreak/>
        <w:t>відзначимо, що підприємство активно здійснює податкові платежі, що підтверджується значними оборотами за рахунком 64. Дебетові обороти становлять 356605,52 грн., а кредитові – 341509,36 грн. Це свідчить про високий рівень податкових зобов'язань та їх своєчасне погашення. Підприємство вчасно виконує свої податкові зобов'язання, що позитивно впливає на його репутацію перед державними органами і знижує ризик податкових санкцій.</w:t>
      </w:r>
    </w:p>
    <w:p w14:paraId="5EFC1B7B" w14:textId="5A6F2902" w:rsidR="00961769" w:rsidRDefault="00961769" w:rsidP="00961769">
      <w:pPr>
        <w:spacing w:after="0" w:line="360" w:lineRule="auto"/>
        <w:ind w:firstLine="709"/>
        <w:jc w:val="both"/>
        <w:rPr>
          <w:rFonts w:ascii="Times New Roman" w:eastAsia="Times New Roman" w:hAnsi="Times New Roman" w:cs="Times New Roman"/>
          <w:sz w:val="28"/>
          <w:szCs w:val="28"/>
          <w:lang w:val="uk-UA"/>
        </w:rPr>
      </w:pPr>
      <w:r w:rsidRPr="00961769">
        <w:rPr>
          <w:rFonts w:ascii="Times New Roman" w:eastAsia="Times New Roman" w:hAnsi="Times New Roman" w:cs="Times New Roman"/>
          <w:sz w:val="28"/>
          <w:szCs w:val="28"/>
          <w:lang w:val="uk-UA"/>
        </w:rPr>
        <w:t xml:space="preserve">Таким чином, ТОВ "Тритон" ефективно управляє своїми розрахунками як з постачальниками та підрядниками, так і з державними органами щодо податків і платежів. Зменшення кредиторської заборгованості за рахунком 63 свідчить про те, що підприємство вчасно розраховується за своїми зобов’язаннями. Збільшення дебіторської заборгованості за податками та </w:t>
      </w:r>
      <w:proofErr w:type="spellStart"/>
      <w:r w:rsidRPr="00961769">
        <w:rPr>
          <w:rFonts w:ascii="Times New Roman" w:eastAsia="Times New Roman" w:hAnsi="Times New Roman" w:cs="Times New Roman"/>
          <w:sz w:val="28"/>
          <w:szCs w:val="28"/>
          <w:lang w:val="uk-UA"/>
        </w:rPr>
        <w:t>платежами</w:t>
      </w:r>
      <w:proofErr w:type="spellEnd"/>
      <w:r w:rsidRPr="00961769">
        <w:rPr>
          <w:rFonts w:ascii="Times New Roman" w:eastAsia="Times New Roman" w:hAnsi="Times New Roman" w:cs="Times New Roman"/>
          <w:sz w:val="28"/>
          <w:szCs w:val="28"/>
          <w:lang w:val="uk-UA"/>
        </w:rPr>
        <w:t xml:space="preserve"> за рахунком 64 може бути тимчасовим явищем, але загалом підприємство демонструє високий рівень податкової дисципліни.</w:t>
      </w:r>
    </w:p>
    <w:p w14:paraId="380888B5" w14:textId="77777777" w:rsidR="00A01DE8" w:rsidRPr="00A01DE8" w:rsidRDefault="00A01DE8" w:rsidP="00A01DE8">
      <w:pPr>
        <w:spacing w:after="0" w:line="360" w:lineRule="auto"/>
        <w:ind w:firstLine="709"/>
        <w:jc w:val="both"/>
        <w:rPr>
          <w:rFonts w:ascii="Times New Roman" w:eastAsia="Times New Roman" w:hAnsi="Times New Roman" w:cs="Times New Roman"/>
          <w:sz w:val="28"/>
          <w:szCs w:val="28"/>
          <w:lang w:val="uk-UA"/>
        </w:rPr>
      </w:pPr>
      <w:r w:rsidRPr="00A01DE8">
        <w:rPr>
          <w:rFonts w:ascii="Times New Roman" w:eastAsia="Times New Roman" w:hAnsi="Times New Roman" w:cs="Times New Roman"/>
          <w:sz w:val="28"/>
          <w:szCs w:val="28"/>
          <w:lang w:val="uk-UA"/>
        </w:rPr>
        <w:t>В заключному аналізі здійснимо висновки за рахунками 70, 79, 81, 82, 83, 84, 92 та 44. Підприємство отримало значний дохід від реалізації робіт та послуг, що вказує на активну господарську діяльність. Підприємство має стабільний грошовий потік: постійні доходи від реалізації допомагають підтримувати фінансову стабільність компанії.</w:t>
      </w:r>
    </w:p>
    <w:p w14:paraId="3A71506F" w14:textId="77777777" w:rsidR="00A01DE8" w:rsidRPr="00A01DE8" w:rsidRDefault="00A01DE8" w:rsidP="00A01DE8">
      <w:pPr>
        <w:spacing w:after="0" w:line="360" w:lineRule="auto"/>
        <w:ind w:firstLine="709"/>
        <w:jc w:val="both"/>
        <w:rPr>
          <w:rFonts w:ascii="Times New Roman" w:eastAsia="Times New Roman" w:hAnsi="Times New Roman" w:cs="Times New Roman"/>
          <w:sz w:val="28"/>
          <w:szCs w:val="28"/>
          <w:lang w:val="uk-UA"/>
        </w:rPr>
      </w:pPr>
      <w:r w:rsidRPr="00A01DE8">
        <w:rPr>
          <w:rFonts w:ascii="Times New Roman" w:eastAsia="Times New Roman" w:hAnsi="Times New Roman" w:cs="Times New Roman"/>
          <w:sz w:val="28"/>
          <w:szCs w:val="28"/>
          <w:lang w:val="uk-UA"/>
        </w:rPr>
        <w:t>Аналіз рахунку 79 (Фінансові результати) свідчить, що витрати перевищують доходи. Так, витрати за рахунком 79 перевищують доходи, що призвело до дебетового залишку на кінець періоду. Тому, вважаємо, що підприємству необхідно переглянути та оптимізувати свої витрати для покращення фінансових результатів.</w:t>
      </w:r>
    </w:p>
    <w:p w14:paraId="28279382" w14:textId="77777777" w:rsidR="00A01DE8" w:rsidRPr="00A01DE8" w:rsidRDefault="00A01DE8" w:rsidP="00A01DE8">
      <w:pPr>
        <w:spacing w:after="0" w:line="360" w:lineRule="auto"/>
        <w:ind w:firstLine="709"/>
        <w:jc w:val="both"/>
        <w:rPr>
          <w:rFonts w:ascii="Times New Roman" w:eastAsia="Times New Roman" w:hAnsi="Times New Roman" w:cs="Times New Roman"/>
          <w:sz w:val="28"/>
          <w:szCs w:val="28"/>
          <w:lang w:val="uk-UA"/>
        </w:rPr>
      </w:pPr>
      <w:r w:rsidRPr="00A01DE8">
        <w:rPr>
          <w:rFonts w:ascii="Times New Roman" w:eastAsia="Times New Roman" w:hAnsi="Times New Roman" w:cs="Times New Roman"/>
          <w:sz w:val="28"/>
          <w:szCs w:val="28"/>
          <w:lang w:val="uk-UA"/>
        </w:rPr>
        <w:t>Оцінюючи витрати, відзначимо, що підприємство здійснює регулярні виплати заробітної плати, що позитивно впливає на мотивацію працівників.  Витрати на оплату праці є контрольованими і становлять помірну частку загальних витрат. Підприємство здійснює відрахування на загальнообов'язкове державне соціальне страхування, що свідчить про дотримання законодавчих вимог. Відрахування сприяють соціальній захищеності працівників.</w:t>
      </w:r>
    </w:p>
    <w:p w14:paraId="1152AC42" w14:textId="77777777" w:rsidR="00A01DE8" w:rsidRPr="00A01DE8" w:rsidRDefault="00A01DE8" w:rsidP="00A01DE8">
      <w:pPr>
        <w:spacing w:after="0" w:line="360" w:lineRule="auto"/>
        <w:ind w:firstLine="709"/>
        <w:jc w:val="both"/>
        <w:rPr>
          <w:rFonts w:ascii="Times New Roman" w:eastAsia="Times New Roman" w:hAnsi="Times New Roman" w:cs="Times New Roman"/>
          <w:sz w:val="28"/>
          <w:szCs w:val="28"/>
          <w:lang w:val="uk-UA"/>
        </w:rPr>
      </w:pPr>
      <w:r w:rsidRPr="00A01DE8">
        <w:rPr>
          <w:rFonts w:ascii="Times New Roman" w:eastAsia="Times New Roman" w:hAnsi="Times New Roman" w:cs="Times New Roman"/>
          <w:sz w:val="28"/>
          <w:szCs w:val="28"/>
          <w:lang w:val="uk-UA"/>
        </w:rPr>
        <w:lastRenderedPageBreak/>
        <w:t>Підприємство нараховує амортизацію на основні засоби, що відображає знос активів. Амортизація є плановою статтею витрат, що враховується в бюджетуванні.</w:t>
      </w:r>
    </w:p>
    <w:p w14:paraId="2BA72523" w14:textId="77777777" w:rsidR="00A01DE8" w:rsidRPr="00A01DE8" w:rsidRDefault="00A01DE8" w:rsidP="00A01DE8">
      <w:pPr>
        <w:spacing w:after="0" w:line="360" w:lineRule="auto"/>
        <w:ind w:firstLine="709"/>
        <w:jc w:val="both"/>
        <w:rPr>
          <w:rFonts w:ascii="Times New Roman" w:eastAsia="Times New Roman" w:hAnsi="Times New Roman" w:cs="Times New Roman"/>
          <w:sz w:val="28"/>
          <w:szCs w:val="28"/>
          <w:lang w:val="uk-UA"/>
        </w:rPr>
      </w:pPr>
      <w:r w:rsidRPr="00A01DE8">
        <w:rPr>
          <w:rFonts w:ascii="Times New Roman" w:eastAsia="Times New Roman" w:hAnsi="Times New Roman" w:cs="Times New Roman"/>
          <w:sz w:val="28"/>
          <w:szCs w:val="28"/>
          <w:lang w:val="uk-UA"/>
        </w:rPr>
        <w:t>ТОВ «Тритон» має значні операційні витрати. Витрати на інші операційні заходи є значними і потребують детального аналізу для виявлення можливостей оптимізації. Інші операційні витрати істотно впливають на загальний фінансовий результат підприємства.</w:t>
      </w:r>
    </w:p>
    <w:p w14:paraId="46487C4B" w14:textId="77777777" w:rsidR="00A01DE8" w:rsidRPr="00A01DE8" w:rsidRDefault="00A01DE8" w:rsidP="00A01DE8">
      <w:pPr>
        <w:spacing w:after="0" w:line="360" w:lineRule="auto"/>
        <w:ind w:firstLine="709"/>
        <w:jc w:val="both"/>
        <w:rPr>
          <w:rFonts w:ascii="Times New Roman" w:eastAsia="Times New Roman" w:hAnsi="Times New Roman" w:cs="Times New Roman"/>
          <w:sz w:val="28"/>
          <w:szCs w:val="28"/>
          <w:lang w:val="uk-UA"/>
        </w:rPr>
      </w:pPr>
      <w:r w:rsidRPr="00A01DE8">
        <w:rPr>
          <w:rFonts w:ascii="Times New Roman" w:eastAsia="Times New Roman" w:hAnsi="Times New Roman" w:cs="Times New Roman"/>
          <w:sz w:val="28"/>
          <w:szCs w:val="28"/>
          <w:lang w:val="uk-UA"/>
        </w:rPr>
        <w:t>Аналіз рахунка 92 (Адміністративні витрати) підкреслює, що обороти за період: Дебет: 440987,36 грн. високі адміністративні витрати, так адміністративні витрати є суттєвими і становлять значну частку загальних витрат підприємства. Тому, на нашу думку необхідно контролювати адміністративні витрати для підвищення ефективності управління.</w:t>
      </w:r>
    </w:p>
    <w:p w14:paraId="758511B5" w14:textId="2155677C" w:rsidR="00A01DE8" w:rsidRPr="00961769" w:rsidRDefault="00A01DE8" w:rsidP="00A01DE8">
      <w:pPr>
        <w:spacing w:after="0" w:line="360" w:lineRule="auto"/>
        <w:ind w:firstLine="709"/>
        <w:jc w:val="both"/>
        <w:rPr>
          <w:rFonts w:ascii="Times New Roman" w:eastAsia="Times New Roman" w:hAnsi="Times New Roman" w:cs="Times New Roman"/>
          <w:sz w:val="28"/>
          <w:szCs w:val="28"/>
          <w:lang w:val="uk-UA"/>
        </w:rPr>
      </w:pPr>
      <w:r w:rsidRPr="00A01DE8">
        <w:rPr>
          <w:rFonts w:ascii="Times New Roman" w:eastAsia="Times New Roman" w:hAnsi="Times New Roman" w:cs="Times New Roman"/>
          <w:sz w:val="28"/>
          <w:szCs w:val="28"/>
          <w:lang w:val="uk-UA"/>
        </w:rPr>
        <w:t>Таким чином, аналіз обліково-аналітичних записів за серпень 2023 року ТОВ "Тритон" свідчить, що підприємство має активну фінансову діяльність із значними доходами та витратами. Зокрема, високі адміністративні та операційні витрати впливають на фінансовий результат, тому необхідно оптимізувати витрати для покращення фінансового стану. Амортизаційні відрахування і витрати на оплату праці є стабільними і контрольованими. Незважаючи на наявність непокритих збитків, підприємство має нерозподілений прибуток, що свідчить про потенціал для подальшого розвитку.</w:t>
      </w:r>
    </w:p>
    <w:p w14:paraId="77C1D966" w14:textId="543DFB6C" w:rsidR="002267C6" w:rsidRDefault="002267C6" w:rsidP="00AC0350">
      <w:pPr>
        <w:spacing w:after="0"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Література</w:t>
      </w:r>
    </w:p>
    <w:p w14:paraId="42302AB1" w14:textId="3556B391" w:rsidR="00535815" w:rsidRDefault="00F34E54" w:rsidP="00535815">
      <w:pPr>
        <w:pStyle w:val="a3"/>
        <w:numPr>
          <w:ilvl w:val="0"/>
          <w:numId w:val="7"/>
        </w:numPr>
        <w:spacing w:after="0" w:line="360" w:lineRule="auto"/>
        <w:ind w:left="0" w:firstLine="709"/>
        <w:jc w:val="both"/>
        <w:rPr>
          <w:rFonts w:ascii="Times New Roman" w:hAnsi="Times New Roman" w:cs="Times New Roman"/>
          <w:sz w:val="24"/>
          <w:szCs w:val="24"/>
          <w:lang w:val="uk-UA"/>
        </w:rPr>
      </w:pPr>
      <w:r w:rsidRPr="00F34E54">
        <w:rPr>
          <w:rFonts w:ascii="Times New Roman" w:hAnsi="Times New Roman" w:cs="Times New Roman"/>
          <w:sz w:val="24"/>
          <w:szCs w:val="24"/>
          <w:lang w:val="uk-UA"/>
        </w:rPr>
        <w:t>Закон України № 996-ХІV від 16.07.99р. «Про бухгалтерський облік та фінансову звітність в Україні» URL:  http://zakon.rada.gov.ua</w:t>
      </w:r>
      <w:r w:rsidR="00535815" w:rsidRPr="00535815">
        <w:rPr>
          <w:rFonts w:ascii="Times New Roman" w:hAnsi="Times New Roman" w:cs="Times New Roman"/>
          <w:sz w:val="24"/>
          <w:szCs w:val="24"/>
          <w:lang w:val="uk-UA"/>
        </w:rPr>
        <w:t xml:space="preserve"> (дата звернення 2</w:t>
      </w:r>
      <w:r w:rsidR="002D50E1">
        <w:rPr>
          <w:rFonts w:ascii="Times New Roman" w:hAnsi="Times New Roman" w:cs="Times New Roman"/>
          <w:sz w:val="24"/>
          <w:szCs w:val="24"/>
          <w:lang w:val="uk-UA"/>
        </w:rPr>
        <w:t>5</w:t>
      </w:r>
      <w:r w:rsidR="00535815" w:rsidRPr="00535815">
        <w:rPr>
          <w:rFonts w:ascii="Times New Roman" w:hAnsi="Times New Roman" w:cs="Times New Roman"/>
          <w:sz w:val="24"/>
          <w:szCs w:val="24"/>
          <w:lang w:val="uk-UA"/>
        </w:rPr>
        <w:t>.0</w:t>
      </w:r>
      <w:r w:rsidR="00930CC1">
        <w:rPr>
          <w:rFonts w:ascii="Times New Roman" w:hAnsi="Times New Roman" w:cs="Times New Roman"/>
          <w:sz w:val="24"/>
          <w:szCs w:val="24"/>
          <w:lang w:val="uk-UA"/>
        </w:rPr>
        <w:t>9</w:t>
      </w:r>
      <w:r w:rsidR="00535815" w:rsidRPr="00535815">
        <w:rPr>
          <w:rFonts w:ascii="Times New Roman" w:hAnsi="Times New Roman" w:cs="Times New Roman"/>
          <w:sz w:val="24"/>
          <w:szCs w:val="24"/>
          <w:lang w:val="uk-UA"/>
        </w:rPr>
        <w:t>.202</w:t>
      </w:r>
      <w:r w:rsidR="00930CC1">
        <w:rPr>
          <w:rFonts w:ascii="Times New Roman" w:hAnsi="Times New Roman" w:cs="Times New Roman"/>
          <w:sz w:val="24"/>
          <w:szCs w:val="24"/>
          <w:lang w:val="uk-UA"/>
        </w:rPr>
        <w:t>4</w:t>
      </w:r>
      <w:r w:rsidR="00535815" w:rsidRPr="00535815">
        <w:rPr>
          <w:rFonts w:ascii="Times New Roman" w:hAnsi="Times New Roman" w:cs="Times New Roman"/>
          <w:sz w:val="24"/>
          <w:szCs w:val="24"/>
          <w:lang w:val="uk-UA"/>
        </w:rPr>
        <w:t xml:space="preserve">) </w:t>
      </w:r>
    </w:p>
    <w:p w14:paraId="5D342B40" w14:textId="08A2AB79" w:rsidR="00F34E54" w:rsidRPr="00F34E54" w:rsidRDefault="00F34E54" w:rsidP="00535815">
      <w:pPr>
        <w:pStyle w:val="a3"/>
        <w:numPr>
          <w:ilvl w:val="0"/>
          <w:numId w:val="7"/>
        </w:numPr>
        <w:spacing w:after="0" w:line="360" w:lineRule="auto"/>
        <w:ind w:left="0" w:firstLine="709"/>
        <w:jc w:val="both"/>
        <w:rPr>
          <w:rFonts w:ascii="Times New Roman" w:hAnsi="Times New Roman" w:cs="Times New Roman"/>
          <w:sz w:val="24"/>
          <w:szCs w:val="24"/>
          <w:lang w:val="uk-UA"/>
        </w:rPr>
      </w:pPr>
      <w:r w:rsidRPr="00F34E54">
        <w:rPr>
          <w:rFonts w:ascii="Times New Roman" w:hAnsi="Times New Roman" w:cs="Times New Roman"/>
          <w:sz w:val="24"/>
          <w:szCs w:val="24"/>
          <w:lang w:val="uk-UA"/>
        </w:rPr>
        <w:t xml:space="preserve">Інструкція про застосування Плану рахунків бухгалтерського обліку, активів, капіталу і зобов’язань від 30.11.1999 р. №291 </w:t>
      </w:r>
      <w:r w:rsidRPr="00F34E54">
        <w:rPr>
          <w:rFonts w:ascii="Times New Roman" w:hAnsi="Times New Roman" w:cs="Times New Roman"/>
          <w:sz w:val="24"/>
          <w:szCs w:val="24"/>
        </w:rPr>
        <w:t>URL</w:t>
      </w:r>
      <w:r w:rsidRPr="00F34E54">
        <w:rPr>
          <w:rFonts w:ascii="Times New Roman" w:hAnsi="Times New Roman" w:cs="Times New Roman"/>
          <w:sz w:val="24"/>
          <w:szCs w:val="24"/>
          <w:lang w:val="uk-UA"/>
        </w:rPr>
        <w:t xml:space="preserve">:  </w:t>
      </w:r>
      <w:hyperlink r:id="rId5" w:history="1">
        <w:r w:rsidRPr="006B1002">
          <w:rPr>
            <w:rStyle w:val="a8"/>
            <w:rFonts w:ascii="Times New Roman" w:hAnsi="Times New Roman" w:cs="Times New Roman"/>
            <w:sz w:val="24"/>
            <w:szCs w:val="24"/>
          </w:rPr>
          <w:t>http</w:t>
        </w:r>
        <w:r w:rsidRPr="006B1002">
          <w:rPr>
            <w:rStyle w:val="a8"/>
            <w:rFonts w:ascii="Times New Roman" w:hAnsi="Times New Roman" w:cs="Times New Roman"/>
            <w:sz w:val="24"/>
            <w:szCs w:val="24"/>
            <w:lang w:val="uk-UA"/>
          </w:rPr>
          <w:t>://</w:t>
        </w:r>
        <w:r w:rsidRPr="006B1002">
          <w:rPr>
            <w:rStyle w:val="a8"/>
            <w:rFonts w:ascii="Times New Roman" w:hAnsi="Times New Roman" w:cs="Times New Roman"/>
            <w:sz w:val="24"/>
            <w:szCs w:val="24"/>
          </w:rPr>
          <w:t>zakon</w:t>
        </w:r>
        <w:r w:rsidRPr="006B1002">
          <w:rPr>
            <w:rStyle w:val="a8"/>
            <w:rFonts w:ascii="Times New Roman" w:hAnsi="Times New Roman" w:cs="Times New Roman"/>
            <w:sz w:val="24"/>
            <w:szCs w:val="24"/>
            <w:lang w:val="uk-UA"/>
          </w:rPr>
          <w:t>.</w:t>
        </w:r>
        <w:r w:rsidRPr="006B1002">
          <w:rPr>
            <w:rStyle w:val="a8"/>
            <w:rFonts w:ascii="Times New Roman" w:hAnsi="Times New Roman" w:cs="Times New Roman"/>
            <w:sz w:val="24"/>
            <w:szCs w:val="24"/>
          </w:rPr>
          <w:t>rada</w:t>
        </w:r>
        <w:r w:rsidRPr="006B1002">
          <w:rPr>
            <w:rStyle w:val="a8"/>
            <w:rFonts w:ascii="Times New Roman" w:hAnsi="Times New Roman" w:cs="Times New Roman"/>
            <w:sz w:val="24"/>
            <w:szCs w:val="24"/>
            <w:lang w:val="uk-UA"/>
          </w:rPr>
          <w:t>.</w:t>
        </w:r>
        <w:r w:rsidRPr="006B1002">
          <w:rPr>
            <w:rStyle w:val="a8"/>
            <w:rFonts w:ascii="Times New Roman" w:hAnsi="Times New Roman" w:cs="Times New Roman"/>
            <w:sz w:val="24"/>
            <w:szCs w:val="24"/>
          </w:rPr>
          <w:t>gov</w:t>
        </w:r>
        <w:r w:rsidRPr="006B1002">
          <w:rPr>
            <w:rStyle w:val="a8"/>
            <w:rFonts w:ascii="Times New Roman" w:hAnsi="Times New Roman" w:cs="Times New Roman"/>
            <w:sz w:val="24"/>
            <w:szCs w:val="24"/>
            <w:lang w:val="uk-UA"/>
          </w:rPr>
          <w:t>.</w:t>
        </w:r>
        <w:r w:rsidRPr="006B1002">
          <w:rPr>
            <w:rStyle w:val="a8"/>
            <w:rFonts w:ascii="Times New Roman" w:hAnsi="Times New Roman" w:cs="Times New Roman"/>
            <w:sz w:val="24"/>
            <w:szCs w:val="24"/>
          </w:rPr>
          <w:t>ua</w:t>
        </w:r>
      </w:hyperlink>
      <w:r>
        <w:rPr>
          <w:rFonts w:ascii="Times New Roman" w:hAnsi="Times New Roman" w:cs="Times New Roman"/>
          <w:sz w:val="24"/>
          <w:szCs w:val="24"/>
          <w:lang w:val="uk-UA"/>
        </w:rPr>
        <w:t xml:space="preserve"> </w:t>
      </w:r>
      <w:r w:rsidRPr="00F34E54">
        <w:rPr>
          <w:rFonts w:ascii="Times New Roman" w:hAnsi="Times New Roman" w:cs="Times New Roman"/>
          <w:sz w:val="24"/>
          <w:szCs w:val="24"/>
          <w:lang w:val="uk-UA"/>
        </w:rPr>
        <w:t>(дата звернення 2</w:t>
      </w:r>
      <w:r w:rsidR="002D50E1">
        <w:rPr>
          <w:rFonts w:ascii="Times New Roman" w:hAnsi="Times New Roman" w:cs="Times New Roman"/>
          <w:sz w:val="24"/>
          <w:szCs w:val="24"/>
          <w:lang w:val="uk-UA"/>
        </w:rPr>
        <w:t>5</w:t>
      </w:r>
      <w:r w:rsidRPr="00F34E54">
        <w:rPr>
          <w:rFonts w:ascii="Times New Roman" w:hAnsi="Times New Roman" w:cs="Times New Roman"/>
          <w:sz w:val="24"/>
          <w:szCs w:val="24"/>
          <w:lang w:val="uk-UA"/>
        </w:rPr>
        <w:t>.09.2024)</w:t>
      </w:r>
      <w:r>
        <w:rPr>
          <w:rFonts w:ascii="Times New Roman" w:hAnsi="Times New Roman" w:cs="Times New Roman"/>
          <w:sz w:val="24"/>
          <w:szCs w:val="24"/>
          <w:lang w:val="uk-UA"/>
        </w:rPr>
        <w:t>.</w:t>
      </w:r>
    </w:p>
    <w:p w14:paraId="27C2D056" w14:textId="77777777" w:rsidR="00C00EC9" w:rsidRPr="00C00EC9" w:rsidRDefault="00C00EC9" w:rsidP="00C00EC9">
      <w:pPr>
        <w:pStyle w:val="a3"/>
        <w:numPr>
          <w:ilvl w:val="0"/>
          <w:numId w:val="7"/>
        </w:numPr>
        <w:spacing w:after="0" w:line="360" w:lineRule="auto"/>
        <w:ind w:left="0" w:firstLine="709"/>
        <w:jc w:val="both"/>
        <w:rPr>
          <w:rFonts w:ascii="Times New Roman" w:hAnsi="Times New Roman" w:cs="Times New Roman"/>
          <w:sz w:val="24"/>
          <w:szCs w:val="24"/>
          <w:lang w:val="uk-UA"/>
        </w:rPr>
      </w:pPr>
      <w:proofErr w:type="spellStart"/>
      <w:r w:rsidRPr="00C00EC9">
        <w:rPr>
          <w:rFonts w:ascii="Times New Roman" w:hAnsi="Times New Roman" w:cs="Times New Roman"/>
          <w:sz w:val="24"/>
          <w:szCs w:val="24"/>
          <w:lang w:val="uk-UA"/>
        </w:rPr>
        <w:t>Хмелюк</w:t>
      </w:r>
      <w:proofErr w:type="spellEnd"/>
      <w:r w:rsidRPr="00C00EC9">
        <w:rPr>
          <w:rFonts w:ascii="Times New Roman" w:hAnsi="Times New Roman" w:cs="Times New Roman"/>
          <w:sz w:val="24"/>
          <w:szCs w:val="24"/>
          <w:lang w:val="uk-UA"/>
        </w:rPr>
        <w:t xml:space="preserve"> А.В., </w:t>
      </w:r>
      <w:proofErr w:type="spellStart"/>
      <w:r w:rsidRPr="00C00EC9">
        <w:rPr>
          <w:rFonts w:ascii="Times New Roman" w:hAnsi="Times New Roman" w:cs="Times New Roman"/>
          <w:sz w:val="24"/>
          <w:szCs w:val="24"/>
          <w:lang w:val="uk-UA"/>
        </w:rPr>
        <w:t>Моспан</w:t>
      </w:r>
      <w:proofErr w:type="spellEnd"/>
      <w:r w:rsidRPr="00C00EC9">
        <w:rPr>
          <w:rFonts w:ascii="Times New Roman" w:hAnsi="Times New Roman" w:cs="Times New Roman"/>
          <w:sz w:val="24"/>
          <w:szCs w:val="24"/>
          <w:lang w:val="uk-UA"/>
        </w:rPr>
        <w:t xml:space="preserve"> К.А. Аналіз товарообігу соціальних мереж </w:t>
      </w:r>
      <w:proofErr w:type="spellStart"/>
      <w:r w:rsidRPr="00C00EC9">
        <w:rPr>
          <w:rFonts w:ascii="Times New Roman" w:hAnsi="Times New Roman" w:cs="Times New Roman"/>
          <w:sz w:val="24"/>
          <w:szCs w:val="24"/>
          <w:lang w:val="uk-UA"/>
        </w:rPr>
        <w:t>мультимаркету</w:t>
      </w:r>
      <w:proofErr w:type="spellEnd"/>
      <w:r w:rsidRPr="00C00EC9">
        <w:rPr>
          <w:rFonts w:ascii="Times New Roman" w:hAnsi="Times New Roman" w:cs="Times New Roman"/>
          <w:sz w:val="24"/>
          <w:szCs w:val="24"/>
          <w:lang w:val="uk-UA"/>
        </w:rPr>
        <w:t xml:space="preserve"> «Аврора». Міжнародна </w:t>
      </w:r>
      <w:proofErr w:type="spellStart"/>
      <w:r w:rsidRPr="00C00EC9">
        <w:rPr>
          <w:rFonts w:ascii="Times New Roman" w:hAnsi="Times New Roman" w:cs="Times New Roman"/>
          <w:sz w:val="24"/>
          <w:szCs w:val="24"/>
          <w:lang w:val="uk-UA"/>
        </w:rPr>
        <w:t>мультисциплінарна</w:t>
      </w:r>
      <w:proofErr w:type="spellEnd"/>
      <w:r w:rsidRPr="00C00EC9">
        <w:rPr>
          <w:rFonts w:ascii="Times New Roman" w:hAnsi="Times New Roman" w:cs="Times New Roman"/>
          <w:sz w:val="24"/>
          <w:szCs w:val="24"/>
          <w:lang w:val="uk-UA"/>
        </w:rPr>
        <w:t xml:space="preserve"> наукова інтернет-конференція «Світ наукових досліджень» (</w:t>
      </w:r>
      <w:proofErr w:type="spellStart"/>
      <w:r w:rsidRPr="00C00EC9">
        <w:rPr>
          <w:rFonts w:ascii="Times New Roman" w:hAnsi="Times New Roman" w:cs="Times New Roman"/>
          <w:sz w:val="24"/>
          <w:szCs w:val="24"/>
          <w:lang w:val="uk-UA"/>
        </w:rPr>
        <w:t>м.Тернопіль</w:t>
      </w:r>
      <w:proofErr w:type="spellEnd"/>
      <w:r w:rsidRPr="00C00EC9">
        <w:rPr>
          <w:rFonts w:ascii="Times New Roman" w:hAnsi="Times New Roman" w:cs="Times New Roman"/>
          <w:sz w:val="24"/>
          <w:szCs w:val="24"/>
          <w:lang w:val="uk-UA"/>
        </w:rPr>
        <w:t xml:space="preserve">, Україна – </w:t>
      </w:r>
      <w:proofErr w:type="spellStart"/>
      <w:r w:rsidRPr="00C00EC9">
        <w:rPr>
          <w:rFonts w:ascii="Times New Roman" w:hAnsi="Times New Roman" w:cs="Times New Roman"/>
          <w:sz w:val="24"/>
          <w:szCs w:val="24"/>
          <w:lang w:val="uk-UA"/>
        </w:rPr>
        <w:t>м.Переворськ</w:t>
      </w:r>
      <w:proofErr w:type="spellEnd"/>
      <w:r w:rsidRPr="00C00EC9">
        <w:rPr>
          <w:rFonts w:ascii="Times New Roman" w:hAnsi="Times New Roman" w:cs="Times New Roman"/>
          <w:sz w:val="24"/>
          <w:szCs w:val="24"/>
          <w:lang w:val="uk-UA"/>
        </w:rPr>
        <w:t xml:space="preserve">, Польща, 20-22 червня 2023 р.). ГО «Наукова спільнота»; WSSG w. </w:t>
      </w:r>
      <w:proofErr w:type="spellStart"/>
      <w:r w:rsidRPr="00C00EC9">
        <w:rPr>
          <w:rFonts w:ascii="Times New Roman" w:hAnsi="Times New Roman" w:cs="Times New Roman"/>
          <w:sz w:val="24"/>
          <w:szCs w:val="24"/>
          <w:lang w:val="uk-UA"/>
        </w:rPr>
        <w:t>Przeworsku</w:t>
      </w:r>
      <w:proofErr w:type="spellEnd"/>
      <w:r w:rsidRPr="00C00EC9">
        <w:rPr>
          <w:rFonts w:ascii="Times New Roman" w:hAnsi="Times New Roman" w:cs="Times New Roman"/>
          <w:sz w:val="24"/>
          <w:szCs w:val="24"/>
          <w:lang w:val="uk-UA"/>
        </w:rPr>
        <w:t>. Р.66-68.</w:t>
      </w:r>
    </w:p>
    <w:sectPr w:rsidR="00C00EC9" w:rsidRPr="00C00EC9" w:rsidSect="009617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AD8"/>
    <w:multiLevelType w:val="hybridMultilevel"/>
    <w:tmpl w:val="85CED2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0D53739"/>
    <w:multiLevelType w:val="hybridMultilevel"/>
    <w:tmpl w:val="A6D4981E"/>
    <w:lvl w:ilvl="0" w:tplc="60540CCE">
      <w:numFmt w:val="bullet"/>
      <w:lvlText w:val="-"/>
      <w:lvlJc w:val="left"/>
      <w:pPr>
        <w:ind w:left="116" w:hanging="245"/>
      </w:pPr>
      <w:rPr>
        <w:rFonts w:ascii="Times New Roman" w:eastAsia="Times New Roman" w:hAnsi="Times New Roman" w:cs="Times New Roman" w:hint="default"/>
        <w:b w:val="0"/>
        <w:bCs w:val="0"/>
        <w:i w:val="0"/>
        <w:iCs w:val="0"/>
        <w:spacing w:val="0"/>
        <w:w w:val="99"/>
        <w:sz w:val="28"/>
        <w:szCs w:val="28"/>
        <w:lang w:val="uk-UA" w:eastAsia="en-US" w:bidi="ar-SA"/>
      </w:rPr>
    </w:lvl>
    <w:lvl w:ilvl="1" w:tplc="92040C86">
      <w:numFmt w:val="bullet"/>
      <w:lvlText w:val="•"/>
      <w:lvlJc w:val="left"/>
      <w:pPr>
        <w:ind w:left="1134" w:hanging="245"/>
      </w:pPr>
      <w:rPr>
        <w:rFonts w:hint="default"/>
        <w:lang w:val="uk-UA" w:eastAsia="en-US" w:bidi="ar-SA"/>
      </w:rPr>
    </w:lvl>
    <w:lvl w:ilvl="2" w:tplc="CB60C314">
      <w:numFmt w:val="bullet"/>
      <w:lvlText w:val="•"/>
      <w:lvlJc w:val="left"/>
      <w:pPr>
        <w:ind w:left="2148" w:hanging="245"/>
      </w:pPr>
      <w:rPr>
        <w:rFonts w:hint="default"/>
        <w:lang w:val="uk-UA" w:eastAsia="en-US" w:bidi="ar-SA"/>
      </w:rPr>
    </w:lvl>
    <w:lvl w:ilvl="3" w:tplc="6D860AB6">
      <w:numFmt w:val="bullet"/>
      <w:lvlText w:val="•"/>
      <w:lvlJc w:val="left"/>
      <w:pPr>
        <w:ind w:left="3163" w:hanging="245"/>
      </w:pPr>
      <w:rPr>
        <w:rFonts w:hint="default"/>
        <w:lang w:val="uk-UA" w:eastAsia="en-US" w:bidi="ar-SA"/>
      </w:rPr>
    </w:lvl>
    <w:lvl w:ilvl="4" w:tplc="4EE2879E">
      <w:numFmt w:val="bullet"/>
      <w:lvlText w:val="•"/>
      <w:lvlJc w:val="left"/>
      <w:pPr>
        <w:ind w:left="4177" w:hanging="245"/>
      </w:pPr>
      <w:rPr>
        <w:rFonts w:hint="default"/>
        <w:lang w:val="uk-UA" w:eastAsia="en-US" w:bidi="ar-SA"/>
      </w:rPr>
    </w:lvl>
    <w:lvl w:ilvl="5" w:tplc="2FCE764A">
      <w:numFmt w:val="bullet"/>
      <w:lvlText w:val="•"/>
      <w:lvlJc w:val="left"/>
      <w:pPr>
        <w:ind w:left="5192" w:hanging="245"/>
      </w:pPr>
      <w:rPr>
        <w:rFonts w:hint="default"/>
        <w:lang w:val="uk-UA" w:eastAsia="en-US" w:bidi="ar-SA"/>
      </w:rPr>
    </w:lvl>
    <w:lvl w:ilvl="6" w:tplc="81B43EBE">
      <w:numFmt w:val="bullet"/>
      <w:lvlText w:val="•"/>
      <w:lvlJc w:val="left"/>
      <w:pPr>
        <w:ind w:left="6206" w:hanging="245"/>
      </w:pPr>
      <w:rPr>
        <w:rFonts w:hint="default"/>
        <w:lang w:val="uk-UA" w:eastAsia="en-US" w:bidi="ar-SA"/>
      </w:rPr>
    </w:lvl>
    <w:lvl w:ilvl="7" w:tplc="600AD2C2">
      <w:numFmt w:val="bullet"/>
      <w:lvlText w:val="•"/>
      <w:lvlJc w:val="left"/>
      <w:pPr>
        <w:ind w:left="7220" w:hanging="245"/>
      </w:pPr>
      <w:rPr>
        <w:rFonts w:hint="default"/>
        <w:lang w:val="uk-UA" w:eastAsia="en-US" w:bidi="ar-SA"/>
      </w:rPr>
    </w:lvl>
    <w:lvl w:ilvl="8" w:tplc="16BECB10">
      <w:numFmt w:val="bullet"/>
      <w:lvlText w:val="•"/>
      <w:lvlJc w:val="left"/>
      <w:pPr>
        <w:ind w:left="8235" w:hanging="245"/>
      </w:pPr>
      <w:rPr>
        <w:rFonts w:hint="default"/>
        <w:lang w:val="uk-UA" w:eastAsia="en-US" w:bidi="ar-SA"/>
      </w:rPr>
    </w:lvl>
  </w:abstractNum>
  <w:abstractNum w:abstractNumId="2" w15:restartNumberingAfterBreak="0">
    <w:nsid w:val="30F971CF"/>
    <w:multiLevelType w:val="hybridMultilevel"/>
    <w:tmpl w:val="4DA64E02"/>
    <w:lvl w:ilvl="0" w:tplc="4196A2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1D90800"/>
    <w:multiLevelType w:val="multilevel"/>
    <w:tmpl w:val="33E4F90E"/>
    <w:lvl w:ilvl="0">
      <w:start w:val="3"/>
      <w:numFmt w:val="decimal"/>
      <w:lvlText w:val="%1"/>
      <w:lvlJc w:val="left"/>
      <w:pPr>
        <w:ind w:left="1249" w:hanging="423"/>
        <w:jc w:val="left"/>
      </w:pPr>
      <w:rPr>
        <w:rFonts w:hint="default"/>
        <w:lang w:val="uk-UA" w:eastAsia="en-US" w:bidi="ar-SA"/>
      </w:rPr>
    </w:lvl>
    <w:lvl w:ilvl="1">
      <w:start w:val="1"/>
      <w:numFmt w:val="decimal"/>
      <w:lvlText w:val="%1.%2"/>
      <w:lvlJc w:val="left"/>
      <w:pPr>
        <w:ind w:left="2692" w:hanging="423"/>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116" w:hanging="240"/>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245" w:hanging="240"/>
      </w:pPr>
      <w:rPr>
        <w:rFonts w:hint="default"/>
        <w:lang w:val="uk-UA" w:eastAsia="en-US" w:bidi="ar-SA"/>
      </w:rPr>
    </w:lvl>
    <w:lvl w:ilvl="4">
      <w:numFmt w:val="bullet"/>
      <w:lvlText w:val="•"/>
      <w:lvlJc w:val="left"/>
      <w:pPr>
        <w:ind w:left="4248" w:hanging="240"/>
      </w:pPr>
      <w:rPr>
        <w:rFonts w:hint="default"/>
        <w:lang w:val="uk-UA" w:eastAsia="en-US" w:bidi="ar-SA"/>
      </w:rPr>
    </w:lvl>
    <w:lvl w:ilvl="5">
      <w:numFmt w:val="bullet"/>
      <w:lvlText w:val="•"/>
      <w:lvlJc w:val="left"/>
      <w:pPr>
        <w:ind w:left="5250" w:hanging="240"/>
      </w:pPr>
      <w:rPr>
        <w:rFonts w:hint="default"/>
        <w:lang w:val="uk-UA" w:eastAsia="en-US" w:bidi="ar-SA"/>
      </w:rPr>
    </w:lvl>
    <w:lvl w:ilvl="6">
      <w:numFmt w:val="bullet"/>
      <w:lvlText w:val="•"/>
      <w:lvlJc w:val="left"/>
      <w:pPr>
        <w:ind w:left="6253" w:hanging="240"/>
      </w:pPr>
      <w:rPr>
        <w:rFonts w:hint="default"/>
        <w:lang w:val="uk-UA" w:eastAsia="en-US" w:bidi="ar-SA"/>
      </w:rPr>
    </w:lvl>
    <w:lvl w:ilvl="7">
      <w:numFmt w:val="bullet"/>
      <w:lvlText w:val="•"/>
      <w:lvlJc w:val="left"/>
      <w:pPr>
        <w:ind w:left="7256" w:hanging="240"/>
      </w:pPr>
      <w:rPr>
        <w:rFonts w:hint="default"/>
        <w:lang w:val="uk-UA" w:eastAsia="en-US" w:bidi="ar-SA"/>
      </w:rPr>
    </w:lvl>
    <w:lvl w:ilvl="8">
      <w:numFmt w:val="bullet"/>
      <w:lvlText w:val="•"/>
      <w:lvlJc w:val="left"/>
      <w:pPr>
        <w:ind w:left="8258" w:hanging="240"/>
      </w:pPr>
      <w:rPr>
        <w:rFonts w:hint="default"/>
        <w:lang w:val="uk-UA" w:eastAsia="en-US" w:bidi="ar-SA"/>
      </w:rPr>
    </w:lvl>
  </w:abstractNum>
  <w:abstractNum w:abstractNumId="4" w15:restartNumberingAfterBreak="0">
    <w:nsid w:val="3F362C92"/>
    <w:multiLevelType w:val="hybridMultilevel"/>
    <w:tmpl w:val="77B4D1A4"/>
    <w:lvl w:ilvl="0" w:tplc="7C30A7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1090180"/>
    <w:multiLevelType w:val="hybridMultilevel"/>
    <w:tmpl w:val="8EA83B5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62D548DA"/>
    <w:multiLevelType w:val="hybridMultilevel"/>
    <w:tmpl w:val="791EE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B6718A"/>
    <w:multiLevelType w:val="hybridMultilevel"/>
    <w:tmpl w:val="1068C2D8"/>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8" w15:restartNumberingAfterBreak="0">
    <w:nsid w:val="6D1751CD"/>
    <w:multiLevelType w:val="hybridMultilevel"/>
    <w:tmpl w:val="EF9E36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6"/>
  </w:num>
  <w:num w:numId="3">
    <w:abstractNumId w:val="0"/>
  </w:num>
  <w:num w:numId="4">
    <w:abstractNumId w:val="7"/>
  </w:num>
  <w:num w:numId="5">
    <w:abstractNumId w:val="4"/>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77"/>
    <w:rsid w:val="0008729D"/>
    <w:rsid w:val="00171F7F"/>
    <w:rsid w:val="002267C6"/>
    <w:rsid w:val="00230B56"/>
    <w:rsid w:val="00234146"/>
    <w:rsid w:val="00237A37"/>
    <w:rsid w:val="00274CDC"/>
    <w:rsid w:val="00277211"/>
    <w:rsid w:val="00282CE1"/>
    <w:rsid w:val="002A4E47"/>
    <w:rsid w:val="002D50E1"/>
    <w:rsid w:val="002D54BA"/>
    <w:rsid w:val="002E79E1"/>
    <w:rsid w:val="002F248E"/>
    <w:rsid w:val="003466AE"/>
    <w:rsid w:val="004D4C00"/>
    <w:rsid w:val="004F4DC3"/>
    <w:rsid w:val="005109CF"/>
    <w:rsid w:val="00516914"/>
    <w:rsid w:val="00535815"/>
    <w:rsid w:val="005C5F20"/>
    <w:rsid w:val="005D25D0"/>
    <w:rsid w:val="00606694"/>
    <w:rsid w:val="00652C2B"/>
    <w:rsid w:val="00653A49"/>
    <w:rsid w:val="007A424E"/>
    <w:rsid w:val="008148FA"/>
    <w:rsid w:val="008A0C77"/>
    <w:rsid w:val="008C50AF"/>
    <w:rsid w:val="008D10D6"/>
    <w:rsid w:val="008F1CE0"/>
    <w:rsid w:val="00926653"/>
    <w:rsid w:val="00930CC1"/>
    <w:rsid w:val="00961769"/>
    <w:rsid w:val="00964058"/>
    <w:rsid w:val="0096634B"/>
    <w:rsid w:val="009A2830"/>
    <w:rsid w:val="009F2710"/>
    <w:rsid w:val="00A01DE8"/>
    <w:rsid w:val="00A427CD"/>
    <w:rsid w:val="00A76398"/>
    <w:rsid w:val="00AC0350"/>
    <w:rsid w:val="00AD4255"/>
    <w:rsid w:val="00B07401"/>
    <w:rsid w:val="00B517A6"/>
    <w:rsid w:val="00BB15DA"/>
    <w:rsid w:val="00BD5099"/>
    <w:rsid w:val="00C00EC9"/>
    <w:rsid w:val="00C54A66"/>
    <w:rsid w:val="00C55B7A"/>
    <w:rsid w:val="00CD1C0C"/>
    <w:rsid w:val="00DF4032"/>
    <w:rsid w:val="00E33F1D"/>
    <w:rsid w:val="00E67236"/>
    <w:rsid w:val="00E73600"/>
    <w:rsid w:val="00E73D99"/>
    <w:rsid w:val="00E756AE"/>
    <w:rsid w:val="00E75A1A"/>
    <w:rsid w:val="00ED4C2D"/>
    <w:rsid w:val="00F34E54"/>
    <w:rsid w:val="00FD4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681B"/>
  <w15:docId w15:val="{5F977C3E-1C6E-47FB-81CE-DAD12C51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CE0"/>
    <w:pPr>
      <w:ind w:left="720"/>
      <w:contextualSpacing/>
    </w:pPr>
  </w:style>
  <w:style w:type="paragraph" w:styleId="a4">
    <w:name w:val="Normal (Web)"/>
    <w:basedOn w:val="a"/>
    <w:uiPriority w:val="99"/>
    <w:semiHidden/>
    <w:unhideWhenUsed/>
    <w:rsid w:val="0008729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F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D1C0C"/>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CD1C0C"/>
    <w:rPr>
      <w:rFonts w:ascii="Tahoma" w:hAnsi="Tahoma" w:cs="Tahoma"/>
      <w:sz w:val="16"/>
      <w:szCs w:val="16"/>
    </w:rPr>
  </w:style>
  <w:style w:type="character" w:styleId="a8">
    <w:name w:val="Hyperlink"/>
    <w:basedOn w:val="a0"/>
    <w:uiPriority w:val="99"/>
    <w:unhideWhenUsed/>
    <w:rsid w:val="009A2830"/>
    <w:rPr>
      <w:color w:val="0000FF" w:themeColor="hyperlink"/>
      <w:u w:val="single"/>
    </w:rPr>
  </w:style>
  <w:style w:type="character" w:styleId="a9">
    <w:name w:val="Unresolved Mention"/>
    <w:basedOn w:val="a0"/>
    <w:uiPriority w:val="99"/>
    <w:semiHidden/>
    <w:unhideWhenUsed/>
    <w:rsid w:val="009A2830"/>
    <w:rPr>
      <w:color w:val="605E5C"/>
      <w:shd w:val="clear" w:color="auto" w:fill="E1DFDD"/>
    </w:rPr>
  </w:style>
  <w:style w:type="table" w:customStyle="1" w:styleId="TableNormal">
    <w:name w:val="Table Normal"/>
    <w:uiPriority w:val="2"/>
    <w:semiHidden/>
    <w:unhideWhenUsed/>
    <w:qFormat/>
    <w:rsid w:val="005109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5146">
      <w:bodyDiv w:val="1"/>
      <w:marLeft w:val="0"/>
      <w:marRight w:val="0"/>
      <w:marTop w:val="0"/>
      <w:marBottom w:val="0"/>
      <w:divBdr>
        <w:top w:val="none" w:sz="0" w:space="0" w:color="auto"/>
        <w:left w:val="none" w:sz="0" w:space="0" w:color="auto"/>
        <w:bottom w:val="none" w:sz="0" w:space="0" w:color="auto"/>
        <w:right w:val="none" w:sz="0" w:space="0" w:color="auto"/>
      </w:divBdr>
    </w:div>
    <w:div w:id="1532959298">
      <w:bodyDiv w:val="1"/>
      <w:marLeft w:val="0"/>
      <w:marRight w:val="0"/>
      <w:marTop w:val="0"/>
      <w:marBottom w:val="0"/>
      <w:divBdr>
        <w:top w:val="none" w:sz="0" w:space="0" w:color="auto"/>
        <w:left w:val="none" w:sz="0" w:space="0" w:color="auto"/>
        <w:bottom w:val="none" w:sz="0" w:space="0" w:color="auto"/>
        <w:right w:val="none" w:sz="0" w:space="0" w:color="auto"/>
      </w:divBdr>
    </w:div>
    <w:div w:id="177944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5071</Words>
  <Characters>2891</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Єгор Євплов</cp:lastModifiedBy>
  <cp:revision>3</cp:revision>
  <dcterms:created xsi:type="dcterms:W3CDTF">2024-11-10T10:24:00Z</dcterms:created>
  <dcterms:modified xsi:type="dcterms:W3CDTF">2024-11-10T10:24:00Z</dcterms:modified>
</cp:coreProperties>
</file>