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9EB3" w14:textId="77777777" w:rsidR="00034DE8" w:rsidRDefault="00034DE8" w:rsidP="00A45D67">
      <w:pPr>
        <w:spacing w:line="360" w:lineRule="auto"/>
        <w:ind w:firstLine="851"/>
        <w:jc w:val="right"/>
        <w:rPr>
          <w:b/>
          <w:bCs/>
          <w:sz w:val="28"/>
          <w:szCs w:val="28"/>
        </w:rPr>
      </w:pPr>
    </w:p>
    <w:p w14:paraId="6BC240BB" w14:textId="77777777" w:rsidR="00A45D67" w:rsidRPr="005511FE" w:rsidRDefault="00A45D67" w:rsidP="00A45D67">
      <w:pPr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Л</w:t>
      </w:r>
      <w:r w:rsidRPr="005511F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І</w:t>
      </w:r>
      <w:r w:rsidRPr="005511FE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Бабій</w:t>
      </w:r>
      <w:r w:rsidRPr="005511FE">
        <w:rPr>
          <w:i/>
          <w:sz w:val="28"/>
          <w:szCs w:val="28"/>
        </w:rPr>
        <w:t>,</w:t>
      </w:r>
    </w:p>
    <w:p w14:paraId="163A373A" w14:textId="77777777" w:rsidR="00A45D67" w:rsidRPr="005511FE" w:rsidRDefault="00A45D67" w:rsidP="00A45D67">
      <w:pPr>
        <w:ind w:firstLine="567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</w:t>
      </w:r>
      <w:r w:rsidRPr="005511FE">
        <w:rPr>
          <w:i/>
          <w:sz w:val="28"/>
          <w:szCs w:val="28"/>
        </w:rPr>
        <w:t>.е.н</w:t>
      </w:r>
      <w:proofErr w:type="spellEnd"/>
      <w:r w:rsidRPr="005511FE">
        <w:rPr>
          <w:i/>
          <w:sz w:val="28"/>
          <w:szCs w:val="28"/>
        </w:rPr>
        <w:t xml:space="preserve">., </w:t>
      </w:r>
      <w:r>
        <w:rPr>
          <w:i/>
          <w:sz w:val="28"/>
          <w:szCs w:val="28"/>
        </w:rPr>
        <w:t>доцент</w:t>
      </w:r>
      <w:r w:rsidRPr="005511F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доцент</w:t>
      </w:r>
      <w:r w:rsidRPr="005511FE">
        <w:rPr>
          <w:i/>
          <w:sz w:val="28"/>
          <w:szCs w:val="28"/>
        </w:rPr>
        <w:t xml:space="preserve"> кафедри податкового менеджменту та фінансового моніторингу, Київський національний економічний університет імені Вадима Гетьмана </w:t>
      </w:r>
    </w:p>
    <w:p w14:paraId="5265781F" w14:textId="77777777" w:rsidR="00A45D67" w:rsidRPr="002B0E82" w:rsidRDefault="00A45D67" w:rsidP="00A45D67">
      <w:pPr>
        <w:jc w:val="right"/>
        <w:textAlignment w:val="baseline"/>
        <w:rPr>
          <w:i/>
          <w:iCs/>
          <w:color w:val="000000"/>
          <w:sz w:val="28"/>
          <w:szCs w:val="28"/>
          <w:lang w:val="en-US" w:eastAsia="uk-UA"/>
        </w:rPr>
      </w:pPr>
      <w:r w:rsidRPr="002B0E82">
        <w:rPr>
          <w:i/>
          <w:sz w:val="28"/>
          <w:szCs w:val="28"/>
          <w:lang w:val="en-US"/>
        </w:rPr>
        <w:t xml:space="preserve">ORCID ID: </w:t>
      </w:r>
      <w:hyperlink r:id="rId6" w:history="1">
        <w:r w:rsidRPr="002B0E82">
          <w:rPr>
            <w:i/>
            <w:iCs/>
            <w:color w:val="267FC2"/>
            <w:sz w:val="28"/>
            <w:szCs w:val="28"/>
            <w:u w:val="single"/>
            <w:bdr w:val="none" w:sz="0" w:space="0" w:color="auto" w:frame="1"/>
            <w:lang w:val="en-US" w:eastAsia="uk-UA"/>
          </w:rPr>
          <w:t>https://orcid.org/0000-0002-6516-0377</w:t>
        </w:r>
      </w:hyperlink>
    </w:p>
    <w:p w14:paraId="04B9D5C6" w14:textId="3299E158" w:rsidR="0059516C" w:rsidRPr="00030957" w:rsidRDefault="00A45D67" w:rsidP="00A45D67">
      <w:pPr>
        <w:ind w:firstLine="851"/>
        <w:jc w:val="right"/>
        <w:rPr>
          <w:i/>
          <w:iCs/>
          <w:sz w:val="28"/>
          <w:szCs w:val="28"/>
        </w:rPr>
      </w:pPr>
      <w:r w:rsidRPr="00030957">
        <w:rPr>
          <w:i/>
          <w:iCs/>
          <w:sz w:val="28"/>
          <w:szCs w:val="28"/>
        </w:rPr>
        <w:t xml:space="preserve">Н.Я. Гладун, здобувач вищої освіти </w:t>
      </w:r>
    </w:p>
    <w:p w14:paraId="0187972F" w14:textId="0B106F5C" w:rsidR="00A45D67" w:rsidRDefault="00A45D67" w:rsidP="00A45D67">
      <w:pPr>
        <w:ind w:firstLine="851"/>
        <w:jc w:val="right"/>
        <w:rPr>
          <w:b/>
          <w:bCs/>
          <w:sz w:val="28"/>
          <w:szCs w:val="28"/>
        </w:rPr>
      </w:pPr>
      <w:r w:rsidRPr="005511FE">
        <w:rPr>
          <w:i/>
          <w:sz w:val="28"/>
          <w:szCs w:val="28"/>
        </w:rPr>
        <w:t>Київський національний економічний університет імені В</w:t>
      </w:r>
      <w:r>
        <w:rPr>
          <w:i/>
          <w:sz w:val="28"/>
          <w:szCs w:val="28"/>
        </w:rPr>
        <w:t>.</w:t>
      </w:r>
      <w:r w:rsidRPr="005511FE">
        <w:rPr>
          <w:i/>
          <w:sz w:val="28"/>
          <w:szCs w:val="28"/>
        </w:rPr>
        <w:t xml:space="preserve"> Гетьмана</w:t>
      </w:r>
    </w:p>
    <w:p w14:paraId="0CE1FE01" w14:textId="77777777" w:rsidR="00030957" w:rsidRDefault="00030957" w:rsidP="00A45D67">
      <w:pPr>
        <w:spacing w:line="360" w:lineRule="auto"/>
        <w:ind w:firstLine="851"/>
        <w:jc w:val="right"/>
        <w:rPr>
          <w:b/>
          <w:bCs/>
          <w:sz w:val="28"/>
          <w:szCs w:val="28"/>
        </w:rPr>
      </w:pPr>
    </w:p>
    <w:p w14:paraId="225D2593" w14:textId="01971575" w:rsidR="00B731CC" w:rsidRPr="007D63CA" w:rsidRDefault="00B731CC" w:rsidP="00B731CC">
      <w:pPr>
        <w:spacing w:line="360" w:lineRule="auto"/>
        <w:ind w:firstLine="851"/>
        <w:jc w:val="center"/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</w:rPr>
        <w:t>ПОНЯТТЯ РИЗИКУ У ДІЯЛЬНОСТІ КОМУНАЛЬНИХ НЕКОМЕРЦІЙНИХ ПІДПРИЄМСТВ</w:t>
      </w:r>
    </w:p>
    <w:p w14:paraId="11DC780E" w14:textId="77777777" w:rsidR="00030957" w:rsidRDefault="00030957" w:rsidP="00A45D67">
      <w:pPr>
        <w:spacing w:line="360" w:lineRule="auto"/>
        <w:ind w:firstLine="851"/>
        <w:jc w:val="right"/>
        <w:rPr>
          <w:sz w:val="28"/>
          <w:szCs w:val="28"/>
        </w:rPr>
      </w:pPr>
    </w:p>
    <w:p w14:paraId="2499F37D" w14:textId="4E660B71" w:rsidR="00030957" w:rsidRPr="00030957" w:rsidRDefault="00030957" w:rsidP="00030957">
      <w:pPr>
        <w:spacing w:line="360" w:lineRule="auto"/>
        <w:ind w:firstLine="851"/>
        <w:jc w:val="both"/>
        <w:rPr>
          <w:sz w:val="28"/>
          <w:szCs w:val="28"/>
        </w:rPr>
      </w:pPr>
      <w:r w:rsidRPr="00030957">
        <w:rPr>
          <w:sz w:val="28"/>
          <w:szCs w:val="28"/>
        </w:rPr>
        <w:t>Комунальні некомерційні підприємства</w:t>
      </w:r>
      <w:r>
        <w:rPr>
          <w:sz w:val="28"/>
          <w:szCs w:val="28"/>
        </w:rPr>
        <w:t xml:space="preserve"> (КПН)</w:t>
      </w:r>
      <w:r w:rsidRPr="00030957">
        <w:rPr>
          <w:sz w:val="28"/>
          <w:szCs w:val="28"/>
        </w:rPr>
        <w:t xml:space="preserve">  виконують важливу соціальну функцію, забезпечуючи доступність життєво важливих послуг для населення.</w:t>
      </w:r>
      <w:r>
        <w:rPr>
          <w:sz w:val="28"/>
          <w:szCs w:val="28"/>
        </w:rPr>
        <w:t xml:space="preserve"> </w:t>
      </w:r>
      <w:r w:rsidRPr="00030957">
        <w:rPr>
          <w:sz w:val="28"/>
          <w:szCs w:val="28"/>
        </w:rPr>
        <w:t>Ця специфіка впливає на характер ризиків, які потрібно враховувати під час</w:t>
      </w:r>
      <w:r>
        <w:rPr>
          <w:sz w:val="28"/>
          <w:szCs w:val="28"/>
        </w:rPr>
        <w:t xml:space="preserve"> </w:t>
      </w:r>
      <w:r w:rsidRPr="00030957">
        <w:rPr>
          <w:sz w:val="28"/>
          <w:szCs w:val="28"/>
        </w:rPr>
        <w:t>управління підприємством</w:t>
      </w:r>
      <w:r>
        <w:rPr>
          <w:sz w:val="28"/>
          <w:szCs w:val="28"/>
        </w:rPr>
        <w:t xml:space="preserve">. </w:t>
      </w:r>
      <w:r w:rsidRPr="00030957">
        <w:rPr>
          <w:sz w:val="28"/>
          <w:szCs w:val="28"/>
        </w:rPr>
        <w:t>Основна мета діяльності КНП – забезпечення соціально значущих послуг (медичні, комунальні, освітні), а не отримання прибутку.</w:t>
      </w:r>
      <w:r>
        <w:rPr>
          <w:sz w:val="28"/>
          <w:szCs w:val="28"/>
        </w:rPr>
        <w:t xml:space="preserve"> </w:t>
      </w:r>
      <w:r w:rsidRPr="00030957">
        <w:rPr>
          <w:sz w:val="28"/>
          <w:szCs w:val="28"/>
        </w:rPr>
        <w:t>Це створює необхідність балансування між ефективністю використання ресурсів і доступністю послуг.</w:t>
      </w:r>
      <w:r>
        <w:rPr>
          <w:sz w:val="28"/>
          <w:szCs w:val="28"/>
        </w:rPr>
        <w:t xml:space="preserve"> </w:t>
      </w:r>
      <w:r w:rsidRPr="00030957">
        <w:rPr>
          <w:sz w:val="28"/>
          <w:szCs w:val="28"/>
        </w:rPr>
        <w:t>КНП постійно перебувають під контролем місцевих громад та органів влади, що вимагає прозорості в ухваленні рішень і управлінні ризиками.</w:t>
      </w:r>
      <w:r>
        <w:rPr>
          <w:sz w:val="28"/>
          <w:szCs w:val="28"/>
        </w:rPr>
        <w:t xml:space="preserve"> </w:t>
      </w:r>
      <w:r w:rsidRPr="00030957">
        <w:rPr>
          <w:sz w:val="28"/>
          <w:szCs w:val="28"/>
        </w:rPr>
        <w:t>Джерела фінансування КНП переважно базуються на субсидіях, грантах чи державних програмах.</w:t>
      </w:r>
      <w:r>
        <w:rPr>
          <w:sz w:val="28"/>
          <w:szCs w:val="28"/>
        </w:rPr>
        <w:t xml:space="preserve"> </w:t>
      </w:r>
      <w:r w:rsidRPr="00030957">
        <w:rPr>
          <w:sz w:val="28"/>
          <w:szCs w:val="28"/>
        </w:rPr>
        <w:t>Оскільки значна частина послуг може надаватися на безоплатній або пільговій основі, підприємства стикаються з труднощами прогнозування доходів. Це створює ризики недофінансування та затримки отримання коштів.</w:t>
      </w:r>
      <w:r>
        <w:rPr>
          <w:sz w:val="28"/>
          <w:szCs w:val="28"/>
        </w:rPr>
        <w:t xml:space="preserve"> </w:t>
      </w:r>
      <w:r w:rsidRPr="00030957">
        <w:rPr>
          <w:sz w:val="28"/>
          <w:szCs w:val="28"/>
        </w:rPr>
        <w:t>Для мінімізації зазначених ризиків КНП можуть інтегрувати ризик-орієнтований підхід у свою систему управління, що включає:</w:t>
      </w:r>
    </w:p>
    <w:p w14:paraId="411ED7D4" w14:textId="2804ED80" w:rsidR="00030957" w:rsidRPr="00030957" w:rsidRDefault="00030957" w:rsidP="000309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0957">
        <w:rPr>
          <w:b/>
          <w:bCs/>
          <w:sz w:val="28"/>
          <w:szCs w:val="28"/>
        </w:rPr>
        <w:t>Ідентифікацію ризиків:</w:t>
      </w:r>
      <w:r w:rsidRPr="0003095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30957">
        <w:rPr>
          <w:sz w:val="28"/>
          <w:szCs w:val="28"/>
        </w:rPr>
        <w:t>наліз зовнішніх і внутрішніх факторів, які можуть впливати на діяльність</w:t>
      </w:r>
      <w:r>
        <w:rPr>
          <w:sz w:val="28"/>
          <w:szCs w:val="28"/>
        </w:rPr>
        <w:t>;</w:t>
      </w:r>
    </w:p>
    <w:p w14:paraId="574ABC8D" w14:textId="154190B2" w:rsidR="00030957" w:rsidRPr="00030957" w:rsidRDefault="00030957" w:rsidP="000309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0957">
        <w:rPr>
          <w:b/>
          <w:bCs/>
          <w:sz w:val="28"/>
          <w:szCs w:val="28"/>
        </w:rPr>
        <w:t>Оцінку ризиків:</w:t>
      </w:r>
      <w:r w:rsidRPr="000309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30957">
        <w:rPr>
          <w:sz w:val="28"/>
          <w:szCs w:val="28"/>
        </w:rPr>
        <w:t>изначення ймовірності та впливу кожного ризику</w:t>
      </w:r>
      <w:r>
        <w:rPr>
          <w:sz w:val="28"/>
          <w:szCs w:val="28"/>
        </w:rPr>
        <w:t>;</w:t>
      </w:r>
    </w:p>
    <w:p w14:paraId="69305393" w14:textId="58BD8300" w:rsidR="00030957" w:rsidRPr="00030957" w:rsidRDefault="00030957" w:rsidP="000309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0957">
        <w:rPr>
          <w:b/>
          <w:bCs/>
          <w:sz w:val="28"/>
          <w:szCs w:val="28"/>
        </w:rPr>
        <w:t>Розробку стратегій реагування:</w:t>
      </w:r>
      <w:r w:rsidRPr="000309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0957">
        <w:rPr>
          <w:sz w:val="28"/>
          <w:szCs w:val="28"/>
        </w:rPr>
        <w:t>ланування заходів із мінімізації або усунення ризиків</w:t>
      </w:r>
      <w:r>
        <w:rPr>
          <w:sz w:val="28"/>
          <w:szCs w:val="28"/>
        </w:rPr>
        <w:t>;</w:t>
      </w:r>
    </w:p>
    <w:p w14:paraId="7E030CE2" w14:textId="014050FD" w:rsidR="00030957" w:rsidRPr="00030957" w:rsidRDefault="00030957" w:rsidP="000309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0957">
        <w:rPr>
          <w:b/>
          <w:bCs/>
          <w:sz w:val="28"/>
          <w:szCs w:val="28"/>
        </w:rPr>
        <w:lastRenderedPageBreak/>
        <w:t>Моніторинг та оцінка:</w:t>
      </w:r>
      <w:r w:rsidRPr="000309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0957">
        <w:rPr>
          <w:sz w:val="28"/>
          <w:szCs w:val="28"/>
        </w:rPr>
        <w:t>остійне спостереження за ризиками для швидкого реагування на зміни.</w:t>
      </w:r>
    </w:p>
    <w:p w14:paraId="6ABF7E18" w14:textId="64F502BB" w:rsidR="00030957" w:rsidRPr="00DB6779" w:rsidRDefault="00030957" w:rsidP="00D9147B">
      <w:pPr>
        <w:spacing w:line="360" w:lineRule="auto"/>
        <w:ind w:firstLine="851"/>
        <w:jc w:val="both"/>
        <w:rPr>
          <w:sz w:val="28"/>
          <w:szCs w:val="28"/>
        </w:rPr>
      </w:pPr>
      <w:r w:rsidRPr="00984B17">
        <w:rPr>
          <w:sz w:val="28"/>
          <w:szCs w:val="28"/>
        </w:rPr>
        <w:t>У</w:t>
      </w:r>
      <w:r w:rsidRPr="00F02478">
        <w:rPr>
          <w:sz w:val="28"/>
          <w:szCs w:val="28"/>
        </w:rPr>
        <w:t xml:space="preserve"> діяльності </w:t>
      </w:r>
      <w:r w:rsidR="00B731CC">
        <w:rPr>
          <w:sz w:val="28"/>
          <w:szCs w:val="28"/>
        </w:rPr>
        <w:t>КНП</w:t>
      </w:r>
      <w:r>
        <w:rPr>
          <w:sz w:val="28"/>
          <w:szCs w:val="28"/>
        </w:rPr>
        <w:t xml:space="preserve"> </w:t>
      </w:r>
      <w:r w:rsidRPr="00F02478">
        <w:rPr>
          <w:sz w:val="28"/>
          <w:szCs w:val="28"/>
        </w:rPr>
        <w:t xml:space="preserve">ризики відіграють важливу </w:t>
      </w:r>
      <w:r w:rsidRPr="00DB6779">
        <w:rPr>
          <w:sz w:val="28"/>
          <w:szCs w:val="28"/>
        </w:rPr>
        <w:t>роль, оскільки впливають на якість та достовірність</w:t>
      </w:r>
      <w:r>
        <w:rPr>
          <w:sz w:val="28"/>
          <w:szCs w:val="28"/>
        </w:rPr>
        <w:t xml:space="preserve"> </w:t>
      </w:r>
      <w:r w:rsidRPr="00DB6779">
        <w:rPr>
          <w:sz w:val="28"/>
          <w:szCs w:val="28"/>
        </w:rPr>
        <w:t xml:space="preserve">інформації. Розуміння природи ризиків, їх видів та причин виникнення є основою для ефективного управління ними, що дозволяє знизити ймовірність помилок. </w:t>
      </w:r>
    </w:p>
    <w:p w14:paraId="7A5D5CD6" w14:textId="30C9DAA8" w:rsidR="00030957" w:rsidRDefault="00030957" w:rsidP="00D9147B">
      <w:pPr>
        <w:spacing w:line="360" w:lineRule="auto"/>
        <w:ind w:firstLine="851"/>
        <w:jc w:val="both"/>
        <w:rPr>
          <w:sz w:val="28"/>
          <w:szCs w:val="28"/>
        </w:rPr>
      </w:pPr>
      <w:r w:rsidRPr="00DB6779">
        <w:rPr>
          <w:sz w:val="28"/>
          <w:szCs w:val="28"/>
        </w:rPr>
        <w:t xml:space="preserve">Ризик у </w:t>
      </w:r>
      <w:r w:rsidR="00B731CC">
        <w:rPr>
          <w:sz w:val="28"/>
          <w:szCs w:val="28"/>
        </w:rPr>
        <w:t xml:space="preserve">діяльності КНП </w:t>
      </w:r>
      <w:r w:rsidRPr="00DB6779">
        <w:rPr>
          <w:sz w:val="28"/>
          <w:szCs w:val="28"/>
        </w:rPr>
        <w:t xml:space="preserve">можна визначити як ймовірність виникнення подій або умов, які можуть негативно вплинути на достовірність і об'єктивність фінансової інформації, що готується або перевіряється </w:t>
      </w:r>
      <w:r w:rsidRPr="00AB07C0">
        <w:rPr>
          <w:sz w:val="28"/>
          <w:szCs w:val="28"/>
        </w:rPr>
        <w:t>[1</w:t>
      </w:r>
      <w:r w:rsidRPr="00DB6779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r w:rsidRPr="00DB6779">
        <w:rPr>
          <w:sz w:val="28"/>
          <w:szCs w:val="28"/>
        </w:rPr>
        <w:t>4</w:t>
      </w:r>
      <w:r w:rsidRPr="00AB07C0">
        <w:rPr>
          <w:sz w:val="28"/>
          <w:szCs w:val="28"/>
        </w:rPr>
        <w:t>]</w:t>
      </w:r>
      <w:r w:rsidRPr="00DB6779">
        <w:rPr>
          <w:sz w:val="28"/>
          <w:szCs w:val="28"/>
        </w:rPr>
        <w:t>. Це широке визначення, яке охоплює як внутрішні, так і зовнішні фактори, що створюють невизначеність і підвищують імовірність відхилень від запланованих результатів.</w:t>
      </w:r>
    </w:p>
    <w:p w14:paraId="38A6397A" w14:textId="0F2AAF35" w:rsidR="00030957" w:rsidRPr="00DB6779" w:rsidRDefault="00030957" w:rsidP="00030957">
      <w:pPr>
        <w:spacing w:line="360" w:lineRule="auto"/>
        <w:ind w:firstLine="850"/>
        <w:jc w:val="both"/>
        <w:rPr>
          <w:sz w:val="28"/>
          <w:szCs w:val="28"/>
        </w:rPr>
      </w:pPr>
      <w:r w:rsidRPr="00DB6779">
        <w:rPr>
          <w:sz w:val="28"/>
          <w:szCs w:val="28"/>
        </w:rPr>
        <w:t xml:space="preserve">Причини виникнення ризиків у </w:t>
      </w:r>
      <w:r w:rsidR="00D9147B" w:rsidRPr="00D9147B">
        <w:rPr>
          <w:sz w:val="28"/>
          <w:szCs w:val="28"/>
        </w:rPr>
        <w:t>комунальн</w:t>
      </w:r>
      <w:r w:rsidR="00D9147B">
        <w:rPr>
          <w:sz w:val="28"/>
          <w:szCs w:val="28"/>
        </w:rPr>
        <w:t>их</w:t>
      </w:r>
      <w:r w:rsidR="00D9147B" w:rsidRPr="00D9147B">
        <w:rPr>
          <w:sz w:val="28"/>
          <w:szCs w:val="28"/>
        </w:rPr>
        <w:t xml:space="preserve"> некомерційн</w:t>
      </w:r>
      <w:r w:rsidR="00D9147B">
        <w:rPr>
          <w:sz w:val="28"/>
          <w:szCs w:val="28"/>
        </w:rPr>
        <w:t>их</w:t>
      </w:r>
      <w:r w:rsidR="00D9147B" w:rsidRPr="00D9147B">
        <w:rPr>
          <w:sz w:val="28"/>
          <w:szCs w:val="28"/>
        </w:rPr>
        <w:t xml:space="preserve"> підприємств (КНП) можуть бути різноманітними і зазвичай пов’язані з особливостями їх діяльності, зовнішнім середовищем та внутрішніми факторами</w:t>
      </w:r>
      <w:r w:rsidRPr="00DB6779">
        <w:rPr>
          <w:sz w:val="28"/>
          <w:szCs w:val="28"/>
        </w:rPr>
        <w:t>, що можуть вплинути на якість</w:t>
      </w:r>
      <w:r w:rsidR="00B731CC">
        <w:rPr>
          <w:sz w:val="28"/>
          <w:szCs w:val="28"/>
        </w:rPr>
        <w:t xml:space="preserve"> наданих послуг, на достовірне відображення інформації в ф</w:t>
      </w:r>
      <w:r w:rsidRPr="00DB6779">
        <w:rPr>
          <w:sz w:val="28"/>
          <w:szCs w:val="28"/>
        </w:rPr>
        <w:t>інансов</w:t>
      </w:r>
      <w:r w:rsidR="009A2792">
        <w:rPr>
          <w:sz w:val="28"/>
          <w:szCs w:val="28"/>
        </w:rPr>
        <w:t>ій</w:t>
      </w:r>
      <w:r w:rsidRPr="00DB6779">
        <w:rPr>
          <w:sz w:val="28"/>
          <w:szCs w:val="28"/>
        </w:rPr>
        <w:t xml:space="preserve"> звітност</w:t>
      </w:r>
      <w:r w:rsidR="00D9147B">
        <w:rPr>
          <w:sz w:val="28"/>
          <w:szCs w:val="28"/>
        </w:rPr>
        <w:t>і, н</w:t>
      </w:r>
      <w:r w:rsidR="00D9147B" w:rsidRPr="00D9147B">
        <w:rPr>
          <w:sz w:val="28"/>
          <w:szCs w:val="28"/>
        </w:rPr>
        <w:t>естабільність економіки призводить до зменшення державного фінансування або затримок у виплатах субсидій</w:t>
      </w:r>
      <w:r w:rsidR="00D9147B">
        <w:rPr>
          <w:sz w:val="28"/>
          <w:szCs w:val="28"/>
        </w:rPr>
        <w:t>, ч</w:t>
      </w:r>
      <w:r w:rsidR="00D9147B" w:rsidRPr="00D9147B">
        <w:rPr>
          <w:sz w:val="28"/>
          <w:szCs w:val="28"/>
        </w:rPr>
        <w:t>асті зміни нормативно-правової бази створюють додаткові ризики, пов’язані з необхідністю адаптації до нових умов</w:t>
      </w:r>
      <w:r w:rsidR="00D9147B">
        <w:rPr>
          <w:sz w:val="28"/>
          <w:szCs w:val="28"/>
        </w:rPr>
        <w:t>, п</w:t>
      </w:r>
      <w:r w:rsidR="00D9147B" w:rsidRPr="00D9147B">
        <w:rPr>
          <w:sz w:val="28"/>
          <w:szCs w:val="28"/>
        </w:rPr>
        <w:t>олітична нестабільність може вплинути на фінансування або пріоритетність соціальних програм, в рамках яких працюють КНП.</w:t>
      </w:r>
      <w:r w:rsidRPr="00DB6779">
        <w:rPr>
          <w:sz w:val="28"/>
          <w:szCs w:val="28"/>
        </w:rPr>
        <w:t xml:space="preserve"> Однією з ключових причин є невизначеність у фінансовому середовищі, яка часто виникає внаслідок коливань валютних курсів, змін на ринках капіталу, інфляційних процесів, а також макроекономічної нестабільності або фінансових криз</w:t>
      </w:r>
      <w:r w:rsidR="009A2792" w:rsidRPr="009A2792">
        <w:rPr>
          <w:sz w:val="28"/>
          <w:szCs w:val="28"/>
        </w:rPr>
        <w:t>[3]</w:t>
      </w:r>
      <w:r w:rsidRPr="00DB6779">
        <w:rPr>
          <w:sz w:val="28"/>
          <w:szCs w:val="28"/>
        </w:rPr>
        <w:t xml:space="preserve">. У таких умовах </w:t>
      </w:r>
      <w:r w:rsidR="009A2792">
        <w:rPr>
          <w:sz w:val="28"/>
          <w:szCs w:val="28"/>
        </w:rPr>
        <w:t>КНП</w:t>
      </w:r>
      <w:r w:rsidRPr="00DB6779">
        <w:rPr>
          <w:sz w:val="28"/>
          <w:szCs w:val="28"/>
        </w:rPr>
        <w:t xml:space="preserve"> можуть стикатися з труднощами у відображенні реальних фінансових показників, що призводить до викривлень у звітності. Наприклад, у періоди економічної кризи компанії можуть свідомо намагатися приховати або покращити свої фінансові результати, що створює додаткові ризики для аудиторів, які працюють із неточними або викривленими даними.</w:t>
      </w:r>
    </w:p>
    <w:p w14:paraId="08C2666F" w14:textId="3FE675C8" w:rsidR="00B731CC" w:rsidRPr="00DB6779" w:rsidRDefault="00030957" w:rsidP="00B731CC">
      <w:pPr>
        <w:spacing w:line="360" w:lineRule="auto"/>
        <w:ind w:firstLine="850"/>
        <w:jc w:val="both"/>
        <w:rPr>
          <w:sz w:val="28"/>
          <w:szCs w:val="28"/>
        </w:rPr>
      </w:pPr>
      <w:r w:rsidRPr="00DB6779">
        <w:rPr>
          <w:sz w:val="28"/>
          <w:szCs w:val="28"/>
        </w:rPr>
        <w:lastRenderedPageBreak/>
        <w:t>Іншою важливою причиною є недосконала система внутрішнього контролю на підприємстві. Система внутрішнього контролю є одним із головних механізмів управління ризиками у фінансо</w:t>
      </w:r>
      <w:r w:rsidR="009A2792">
        <w:rPr>
          <w:sz w:val="28"/>
          <w:szCs w:val="28"/>
        </w:rPr>
        <w:t xml:space="preserve">во – господарській </w:t>
      </w:r>
      <w:r w:rsidRPr="00DB6779">
        <w:rPr>
          <w:sz w:val="28"/>
          <w:szCs w:val="28"/>
        </w:rPr>
        <w:t>діяльності компанії, оскільки вона дозволяє запобігати помилкам і викривленням у бухгалтерському обліку та фінансовій звітності</w:t>
      </w:r>
      <w:r w:rsidR="009A2792" w:rsidRPr="009A2792">
        <w:rPr>
          <w:sz w:val="28"/>
          <w:szCs w:val="28"/>
        </w:rPr>
        <w:t>[2</w:t>
      </w:r>
      <w:r w:rsidR="009A2792">
        <w:rPr>
          <w:sz w:val="28"/>
          <w:szCs w:val="28"/>
          <w:lang w:val="en-US"/>
        </w:rPr>
        <w:t>]</w:t>
      </w:r>
      <w:r w:rsidR="009A2792">
        <w:rPr>
          <w:sz w:val="28"/>
          <w:szCs w:val="28"/>
        </w:rPr>
        <w:t xml:space="preserve">. </w:t>
      </w:r>
      <w:r w:rsidR="00B731CC" w:rsidRPr="00B731CC">
        <w:rPr>
          <w:sz w:val="28"/>
          <w:szCs w:val="28"/>
        </w:rPr>
        <w:t>Брак підготовлених фахівців у сфері управління ризиками, фінансів чи технічного обслуговування.</w:t>
      </w:r>
      <w:r w:rsidR="00B731CC">
        <w:rPr>
          <w:sz w:val="28"/>
          <w:szCs w:val="28"/>
        </w:rPr>
        <w:t xml:space="preserve"> </w:t>
      </w:r>
      <w:r w:rsidR="00B731CC" w:rsidRPr="00B731CC">
        <w:rPr>
          <w:sz w:val="28"/>
          <w:szCs w:val="28"/>
        </w:rPr>
        <w:t xml:space="preserve">  Високий рівень плинності кадрів через низький рівень оплати праці або недостатню мотивацію</w:t>
      </w:r>
      <w:r w:rsidR="00B731CC">
        <w:rPr>
          <w:sz w:val="28"/>
          <w:szCs w:val="28"/>
        </w:rPr>
        <w:t xml:space="preserve">, призводить до збільшення внутрішніх ризиків в комунальних підприємствах. </w:t>
      </w:r>
    </w:p>
    <w:p w14:paraId="5BF7CC85" w14:textId="24E060CE" w:rsidR="00030957" w:rsidRPr="00DB6779" w:rsidRDefault="00030957" w:rsidP="00B731CC">
      <w:pPr>
        <w:spacing w:line="360" w:lineRule="auto"/>
        <w:ind w:firstLine="850"/>
        <w:jc w:val="both"/>
        <w:rPr>
          <w:sz w:val="28"/>
          <w:szCs w:val="28"/>
        </w:rPr>
      </w:pPr>
      <w:r w:rsidRPr="00DB6779">
        <w:rPr>
          <w:sz w:val="28"/>
          <w:szCs w:val="28"/>
        </w:rPr>
        <w:t xml:space="preserve">Не менш важливою причиною є постійні зміни в законодавстві та регуляторних вимогах, які можуть значно впливати на бухгалтерський облік і аудит. </w:t>
      </w:r>
      <w:r w:rsidR="00B731CC">
        <w:rPr>
          <w:sz w:val="28"/>
          <w:szCs w:val="28"/>
        </w:rPr>
        <w:t xml:space="preserve">Некомерційні комунальні підприємства </w:t>
      </w:r>
      <w:r w:rsidRPr="00DB6779">
        <w:rPr>
          <w:sz w:val="28"/>
          <w:szCs w:val="28"/>
        </w:rPr>
        <w:t xml:space="preserve"> повинні постійно відстежувати зміни у законодавстві, податкових нормах та стандартах фінансової звітності. Недостатня обізнаність або неправильне застосування нових вимог може призвести до суттєвих викривлень у звітності та порушення законодавчих норм. </w:t>
      </w:r>
      <w:r w:rsidR="00B731CC" w:rsidRPr="00B731CC">
        <w:rPr>
          <w:sz w:val="28"/>
          <w:szCs w:val="28"/>
        </w:rPr>
        <w:t xml:space="preserve"> </w:t>
      </w:r>
    </w:p>
    <w:p w14:paraId="0AF230F3" w14:textId="77777777" w:rsidR="006D341C" w:rsidRPr="005B656F" w:rsidRDefault="006D341C" w:rsidP="00755D36">
      <w:pPr>
        <w:spacing w:line="360" w:lineRule="auto"/>
        <w:ind w:firstLine="851"/>
        <w:jc w:val="center"/>
        <w:rPr>
          <w:b/>
          <w:bCs/>
          <w:sz w:val="28"/>
          <w:szCs w:val="28"/>
          <w:lang w:val="ru-RU"/>
        </w:rPr>
      </w:pPr>
    </w:p>
    <w:p w14:paraId="4AA2B369" w14:textId="77777777" w:rsidR="006D341C" w:rsidRPr="00755D36" w:rsidRDefault="006D341C" w:rsidP="00755D36">
      <w:pPr>
        <w:ind w:firstLine="851"/>
        <w:jc w:val="both"/>
        <w:rPr>
          <w:sz w:val="28"/>
          <w:szCs w:val="28"/>
          <w:lang w:val="ru-RU"/>
        </w:rPr>
      </w:pPr>
    </w:p>
    <w:p w14:paraId="179634EB" w14:textId="77777777" w:rsidR="00463819" w:rsidRDefault="00463819" w:rsidP="00755D36">
      <w:pPr>
        <w:spacing w:line="360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511FE">
        <w:rPr>
          <w:b/>
          <w:sz w:val="28"/>
          <w:szCs w:val="28"/>
          <w:shd w:val="clear" w:color="auto" w:fill="FFFFFF"/>
        </w:rPr>
        <w:t>Література</w:t>
      </w:r>
    </w:p>
    <w:p w14:paraId="12CF3C62" w14:textId="77777777" w:rsidR="009A2792" w:rsidRPr="009A2792" w:rsidRDefault="009A2792" w:rsidP="009A279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2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Методика національної оцінки ризиків відмивання коштів та фінансування тероризму в Україні (оновлена у 2021 році). URL: </w:t>
      </w:r>
      <w:hyperlink r:id="rId7" w:history="1">
        <w:r w:rsidRPr="009A2792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https://fiu.gov.ua/assets/userfiles</w:t>
        </w:r>
        <w:r w:rsidRPr="009A2792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</w:t>
        </w:r>
        <w:r w:rsidRPr="009A2792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/310/НОР/Документи/metodyka2021.pdf</w:t>
        </w:r>
      </w:hyperlink>
    </w:p>
    <w:p w14:paraId="334C35A2" w14:textId="77777777" w:rsidR="009A2792" w:rsidRPr="009A2792" w:rsidRDefault="009A2792" w:rsidP="009A2792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</w:pPr>
      <w:r w:rsidRPr="009A2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Міжнародні стандарти щодо боротьби з відмиванням коштів, фінансуванням тероризму та розповсюдження зброї масового знищення.  Рекомендації FATF. URL: </w:t>
      </w:r>
      <w:hyperlink r:id="rId8" w:history="1">
        <w:r w:rsidRPr="009A2792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https://fiu.gov.ua/assets/userfiles/200/Міжнародні% 20стандарти/FATF%20Recommendations_UKR_12_12_2022.pdf</w:t>
        </w:r>
      </w:hyperlink>
    </w:p>
    <w:p w14:paraId="0DB268A0" w14:textId="77777777" w:rsidR="009A2792" w:rsidRPr="009A2792" w:rsidRDefault="009A2792" w:rsidP="009A2792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 xml:space="preserve">Національні системи оцінювання ризиків і загроз: кращі світові практики, нові можливості для України : </w:t>
      </w:r>
      <w:proofErr w:type="spellStart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>аналіт</w:t>
      </w:r>
      <w:proofErr w:type="spellEnd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 xml:space="preserve">. </w:t>
      </w:r>
      <w:proofErr w:type="spellStart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>доп</w:t>
      </w:r>
      <w:proofErr w:type="spellEnd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>. / [</w:t>
      </w:r>
      <w:proofErr w:type="spellStart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>Резнікова</w:t>
      </w:r>
      <w:proofErr w:type="spellEnd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 xml:space="preserve"> О. О., </w:t>
      </w:r>
      <w:proofErr w:type="spellStart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>Войтовський</w:t>
      </w:r>
      <w:proofErr w:type="spellEnd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 xml:space="preserve"> К. Є. </w:t>
      </w:r>
      <w:proofErr w:type="spellStart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>Лепіхов</w:t>
      </w:r>
      <w:proofErr w:type="spellEnd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 xml:space="preserve"> А. В.] ; за </w:t>
      </w:r>
      <w:proofErr w:type="spellStart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>заг</w:t>
      </w:r>
      <w:proofErr w:type="spellEnd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 xml:space="preserve">. ред. О. О. </w:t>
      </w:r>
      <w:proofErr w:type="spellStart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>Резнікової</w:t>
      </w:r>
      <w:proofErr w:type="spellEnd"/>
      <w:r w:rsidRPr="009A2792"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  <w:t>. Київ : НІСД, 2020. 84 с.</w:t>
      </w:r>
    </w:p>
    <w:p w14:paraId="10647903" w14:textId="77777777" w:rsidR="009A2792" w:rsidRPr="009A2792" w:rsidRDefault="009A2792" w:rsidP="009A2792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27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Огляд щодо використання неприбуткових організацій в незаконних цілях. Державна служба фінансового моніторингу України, 2020. URL: </w:t>
      </w:r>
      <w:hyperlink r:id="rId9" w:history="1">
        <w:r w:rsidRPr="009A2792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https://fiu.gov.ua/assets/userfiles/411/Огляд%20НКО/Oglad_NPO_2020.pdf</w:t>
        </w:r>
      </w:hyperlink>
    </w:p>
    <w:p w14:paraId="798330BB" w14:textId="77777777" w:rsidR="009A2792" w:rsidRPr="009A2792" w:rsidRDefault="009A2792" w:rsidP="009A2792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27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Перелік показників комплексної адміністративної звітності: </w:t>
      </w:r>
      <w:proofErr w:type="spellStart"/>
      <w:r w:rsidRPr="009A27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затв</w:t>
      </w:r>
      <w:proofErr w:type="spellEnd"/>
      <w:r w:rsidRPr="009A27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Наказом Мінфін України від 14.09.2021 № 504. URL: </w:t>
      </w:r>
      <w:hyperlink r:id="rId10" w:anchor="doc_info" w:history="1">
        <w:r w:rsidRPr="009A2792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https://zakon.rada.gov.ua/laws/show/z1519-21#doc_info</w:t>
        </w:r>
      </w:hyperlink>
    </w:p>
    <w:p w14:paraId="7878D1FE" w14:textId="77777777" w:rsidR="00463819" w:rsidRPr="005511FE" w:rsidRDefault="00463819" w:rsidP="00755D36">
      <w:pPr>
        <w:spacing w:line="360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</w:p>
    <w:sectPr w:rsidR="00463819" w:rsidRPr="005511FE" w:rsidSect="00755D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E258B"/>
    <w:multiLevelType w:val="multilevel"/>
    <w:tmpl w:val="0FB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F6EB5"/>
    <w:multiLevelType w:val="hybridMultilevel"/>
    <w:tmpl w:val="AF76CDB8"/>
    <w:lvl w:ilvl="0" w:tplc="ACA0F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9A4BFA"/>
    <w:multiLevelType w:val="hybridMultilevel"/>
    <w:tmpl w:val="F40A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34518">
    <w:abstractNumId w:val="2"/>
  </w:num>
  <w:num w:numId="2" w16cid:durableId="1006785790">
    <w:abstractNumId w:val="0"/>
  </w:num>
  <w:num w:numId="3" w16cid:durableId="212260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75"/>
    <w:rsid w:val="00030957"/>
    <w:rsid w:val="00034DE8"/>
    <w:rsid w:val="00224A9E"/>
    <w:rsid w:val="0032268E"/>
    <w:rsid w:val="00463819"/>
    <w:rsid w:val="00503AC6"/>
    <w:rsid w:val="0059516C"/>
    <w:rsid w:val="005B656F"/>
    <w:rsid w:val="006137CC"/>
    <w:rsid w:val="006D341C"/>
    <w:rsid w:val="00755D36"/>
    <w:rsid w:val="008C6D75"/>
    <w:rsid w:val="00902884"/>
    <w:rsid w:val="009A2792"/>
    <w:rsid w:val="00A45D67"/>
    <w:rsid w:val="00B47175"/>
    <w:rsid w:val="00B731CC"/>
    <w:rsid w:val="00D9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9E5C"/>
  <w15:chartTrackingRefBased/>
  <w15:docId w15:val="{AE6F157C-32C2-4841-BFF5-FAE49CAF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3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u.gov.ua/assets/userfiles/200/&#1052;&#1110;&#1078;&#1085;&#1072;&#1088;&#1086;&#1076;&#1085;&#1110;%25%2020&#1089;&#1090;&#1072;&#1085;&#1076;&#1072;&#1088;&#1090;&#1080;/FATF%20Recommendations_UKR_12_12_202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fiu.gov.ua/assets/userfiles%20/310/&#1053;&#1054;&#1056;/&#1044;&#1086;&#1082;&#1091;&#1084;&#1077;&#1085;&#1090;&#1080;/metodyka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6516-037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1519-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u.gov.ua/assets/userfiles/411/&#1054;&#1075;&#1083;&#1103;&#1076;%20&#1053;&#1050;&#1054;/Oglad_NPO_2020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E751-1831-45F7-96FC-0BE21926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3903</Words>
  <Characters>2226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ipzemlya@gmail.com</dc:creator>
  <cp:keywords/>
  <dc:description/>
  <cp:lastModifiedBy>ipzemlya@gmail.com</cp:lastModifiedBy>
  <cp:revision>2</cp:revision>
  <dcterms:created xsi:type="dcterms:W3CDTF">2025-01-08T21:46:00Z</dcterms:created>
  <dcterms:modified xsi:type="dcterms:W3CDTF">2025-01-08T21:46:00Z</dcterms:modified>
</cp:coreProperties>
</file>