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0A" w:rsidRPr="00FF720A" w:rsidRDefault="00FF720A" w:rsidP="00CD4404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 w:rsidRPr="00FF720A">
        <w:rPr>
          <w:rFonts w:ascii="Times New Roman" w:hAnsi="Times New Roman" w:cs="Times New Roman"/>
          <w:sz w:val="28"/>
          <w:lang w:val="uk-UA"/>
        </w:rPr>
        <w:t>Гельман</w:t>
      </w:r>
      <w:proofErr w:type="spellEnd"/>
      <w:r w:rsidRPr="00FF720A">
        <w:rPr>
          <w:rFonts w:ascii="Times New Roman" w:hAnsi="Times New Roman" w:cs="Times New Roman"/>
          <w:sz w:val="28"/>
          <w:lang w:val="uk-UA"/>
        </w:rPr>
        <w:t xml:space="preserve"> Валентина Миколаївна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FF720A"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FF720A"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FF720A">
        <w:rPr>
          <w:rFonts w:ascii="Times New Roman" w:hAnsi="Times New Roman" w:cs="Times New Roman"/>
          <w:sz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 w:rsidRPr="00FF720A">
        <w:rPr>
          <w:rFonts w:ascii="Times New Roman" w:hAnsi="Times New Roman" w:cs="Times New Roman"/>
          <w:sz w:val="28"/>
          <w:lang w:val="uk-UA"/>
        </w:rPr>
        <w:t>, доцент,</w:t>
      </w:r>
    </w:p>
    <w:p w:rsidR="00FF720A" w:rsidRDefault="00FF720A" w:rsidP="00CD4404">
      <w:pPr>
        <w:spacing w:after="0" w:line="360" w:lineRule="auto"/>
        <w:ind w:left="1843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FF720A">
        <w:rPr>
          <w:rFonts w:ascii="Times New Roman" w:hAnsi="Times New Roman" w:cs="Times New Roman"/>
          <w:sz w:val="28"/>
          <w:lang w:val="uk-UA"/>
        </w:rPr>
        <w:t xml:space="preserve">рофесор кафедри </w:t>
      </w:r>
      <w:r w:rsidR="00CD4404">
        <w:rPr>
          <w:rFonts w:ascii="Times New Roman" w:hAnsi="Times New Roman" w:cs="Times New Roman"/>
          <w:sz w:val="28"/>
          <w:lang w:val="uk-UA"/>
        </w:rPr>
        <w:t xml:space="preserve">управління персоналом </w:t>
      </w:r>
      <w:r w:rsidRPr="00FF720A">
        <w:rPr>
          <w:rFonts w:ascii="Times New Roman" w:hAnsi="Times New Roman" w:cs="Times New Roman"/>
          <w:sz w:val="28"/>
          <w:lang w:val="uk-UA"/>
        </w:rPr>
        <w:t>та маркетингу</w:t>
      </w:r>
    </w:p>
    <w:p w:rsidR="00CD4404" w:rsidRDefault="00CD4404" w:rsidP="00CD4404">
      <w:pPr>
        <w:spacing w:after="0" w:line="360" w:lineRule="auto"/>
        <w:ind w:left="1843"/>
        <w:jc w:val="right"/>
        <w:rPr>
          <w:rFonts w:ascii="Times New Roman" w:hAnsi="Times New Roman" w:cs="Times New Roman"/>
          <w:sz w:val="28"/>
          <w:lang w:val="uk-UA"/>
        </w:rPr>
      </w:pPr>
      <w:r w:rsidRPr="00CD4404">
        <w:rPr>
          <w:rFonts w:ascii="Times New Roman" w:hAnsi="Times New Roman" w:cs="Times New Roman"/>
          <w:sz w:val="28"/>
          <w:lang w:val="uk-UA"/>
        </w:rPr>
        <w:t xml:space="preserve">Запорізький національний університет,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м.</w:t>
      </w:r>
      <w:r w:rsidRPr="00CD4404">
        <w:rPr>
          <w:rFonts w:ascii="Times New Roman" w:hAnsi="Times New Roman" w:cs="Times New Roman"/>
          <w:sz w:val="28"/>
          <w:lang w:val="uk-UA"/>
        </w:rPr>
        <w:t>Запоріжжя</w:t>
      </w:r>
      <w:proofErr w:type="spellEnd"/>
      <w:r w:rsidRPr="00CD4404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Україна</w:t>
      </w:r>
    </w:p>
    <w:p w:rsidR="00CD4404" w:rsidRPr="00FF720A" w:rsidRDefault="00CD4404" w:rsidP="00CD4404">
      <w:pPr>
        <w:spacing w:after="0" w:line="360" w:lineRule="auto"/>
        <w:ind w:left="1843"/>
        <w:jc w:val="right"/>
        <w:rPr>
          <w:rFonts w:ascii="Times New Roman" w:hAnsi="Times New Roman" w:cs="Times New Roman"/>
          <w:sz w:val="28"/>
          <w:lang w:val="uk-UA"/>
        </w:rPr>
      </w:pPr>
      <w:r w:rsidRPr="00CD4404">
        <w:rPr>
          <w:rFonts w:ascii="Times New Roman" w:hAnsi="Times New Roman" w:cs="Times New Roman"/>
          <w:sz w:val="28"/>
          <w:lang w:val="uk-UA"/>
        </w:rPr>
        <w:t>ORCID: https://orcid.org/0000-0002-2227-3865</w:t>
      </w:r>
    </w:p>
    <w:p w:rsidR="00FF720A" w:rsidRPr="00FF720A" w:rsidRDefault="00CD4404" w:rsidP="00CD4404">
      <w:pPr>
        <w:spacing w:after="0" w:line="360" w:lineRule="auto"/>
        <w:ind w:left="1560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Курченко</w:t>
      </w:r>
      <w:proofErr w:type="spellEnd"/>
      <w:r w:rsidR="00FF720A" w:rsidRPr="00FF720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Микита</w:t>
      </w:r>
      <w:r w:rsidR="00FF720A" w:rsidRPr="00FF720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Михайлович, </w:t>
      </w:r>
      <w:r w:rsidR="00FF720A" w:rsidRPr="00FF720A">
        <w:rPr>
          <w:rFonts w:ascii="Times New Roman" w:hAnsi="Times New Roman" w:cs="Times New Roman"/>
          <w:sz w:val="28"/>
          <w:lang w:val="uk-UA"/>
        </w:rPr>
        <w:t>бакалавр</w:t>
      </w:r>
      <w:r>
        <w:rPr>
          <w:rFonts w:ascii="Times New Roman" w:hAnsi="Times New Roman" w:cs="Times New Roman"/>
          <w:sz w:val="28"/>
          <w:lang w:val="uk-UA"/>
        </w:rPr>
        <w:t xml:space="preserve"> спеціальності економіка</w:t>
      </w:r>
    </w:p>
    <w:p w:rsidR="00FF720A" w:rsidRDefault="00FF720A" w:rsidP="00CD4404">
      <w:pPr>
        <w:spacing w:after="0" w:line="360" w:lineRule="auto"/>
        <w:ind w:left="1418"/>
        <w:jc w:val="right"/>
        <w:rPr>
          <w:rFonts w:ascii="Times New Roman" w:hAnsi="Times New Roman" w:cs="Times New Roman"/>
          <w:sz w:val="28"/>
          <w:lang w:val="uk-UA"/>
        </w:rPr>
      </w:pPr>
      <w:r w:rsidRPr="00FF720A">
        <w:rPr>
          <w:rFonts w:ascii="Times New Roman" w:hAnsi="Times New Roman" w:cs="Times New Roman"/>
          <w:sz w:val="28"/>
          <w:lang w:val="uk-UA"/>
        </w:rPr>
        <w:t>Запорізький національний університет,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CD4404">
        <w:rPr>
          <w:rFonts w:ascii="Times New Roman" w:hAnsi="Times New Roman" w:cs="Times New Roman"/>
          <w:sz w:val="28"/>
          <w:lang w:val="uk-UA"/>
        </w:rPr>
        <w:t>м.</w:t>
      </w:r>
      <w:r>
        <w:rPr>
          <w:rFonts w:ascii="Times New Roman" w:hAnsi="Times New Roman" w:cs="Times New Roman"/>
          <w:sz w:val="28"/>
          <w:lang w:val="uk-UA"/>
        </w:rPr>
        <w:t>Запоріжжя</w:t>
      </w:r>
      <w:proofErr w:type="spellEnd"/>
      <w:r>
        <w:rPr>
          <w:rFonts w:ascii="Times New Roman" w:hAnsi="Times New Roman" w:cs="Times New Roman"/>
          <w:sz w:val="28"/>
          <w:lang w:val="uk-UA"/>
        </w:rPr>
        <w:t>, У</w:t>
      </w:r>
      <w:r w:rsidRPr="00FF720A">
        <w:rPr>
          <w:rFonts w:ascii="Times New Roman" w:hAnsi="Times New Roman" w:cs="Times New Roman"/>
          <w:sz w:val="28"/>
          <w:lang w:val="uk-UA"/>
        </w:rPr>
        <w:t>країна</w:t>
      </w:r>
    </w:p>
    <w:p w:rsidR="00CB40B1" w:rsidRPr="00F64CEE" w:rsidRDefault="00CB40B1" w:rsidP="00F64CEE">
      <w:pPr>
        <w:spacing w:after="0" w:line="240" w:lineRule="auto"/>
        <w:ind w:left="3969"/>
        <w:rPr>
          <w:rFonts w:ascii="Times New Roman" w:hAnsi="Times New Roman" w:cs="Times New Roman"/>
          <w:sz w:val="28"/>
          <w:lang w:val="uk-UA"/>
        </w:rPr>
      </w:pPr>
    </w:p>
    <w:p w:rsidR="00057F95" w:rsidRPr="00254720" w:rsidRDefault="00057F95" w:rsidP="00057F9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57F95" w:rsidRPr="00254720" w:rsidRDefault="001C0101" w:rsidP="00E35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720">
        <w:rPr>
          <w:rFonts w:ascii="Times New Roman" w:hAnsi="Times New Roman" w:cs="Times New Roman"/>
          <w:b/>
          <w:sz w:val="28"/>
          <w:szCs w:val="28"/>
          <w:lang w:val="uk-UA"/>
        </w:rPr>
        <w:t>ТЕНДЕНЦІЇ РОЗВИТКУ РИНКУ ПРАЦІ В УМОВАХ ЦИФРОВІЗАЦІЇ ЕКОНОМІКИ</w:t>
      </w:r>
    </w:p>
    <w:p w:rsidR="00057F95" w:rsidRPr="00254720" w:rsidRDefault="00057F95" w:rsidP="00E353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0C8F" w:rsidRDefault="00E60C8F" w:rsidP="00E35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C8F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світі </w:t>
      </w:r>
      <w:proofErr w:type="spellStart"/>
      <w:r w:rsidRPr="00E60C8F"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Pr="00E60C8F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є одним із головних трендів, що впливають на ринок праці. Ця трансформація </w:t>
      </w:r>
      <w:r w:rsidR="00D60265">
        <w:rPr>
          <w:rFonts w:ascii="Times New Roman" w:hAnsi="Times New Roman" w:cs="Times New Roman"/>
          <w:sz w:val="28"/>
          <w:szCs w:val="28"/>
          <w:lang w:val="uk-UA"/>
        </w:rPr>
        <w:t>позначається</w:t>
      </w:r>
      <w:r w:rsidRPr="00E60C8F">
        <w:rPr>
          <w:rFonts w:ascii="Times New Roman" w:hAnsi="Times New Roman" w:cs="Times New Roman"/>
          <w:sz w:val="28"/>
          <w:szCs w:val="28"/>
          <w:lang w:val="uk-UA"/>
        </w:rPr>
        <w:t xml:space="preserve"> на всі</w:t>
      </w:r>
      <w:r w:rsidR="00D6026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60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аспект</w:t>
      </w:r>
      <w:r w:rsidR="00D60265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E60C8F">
        <w:rPr>
          <w:rFonts w:ascii="Times New Roman" w:hAnsi="Times New Roman" w:cs="Times New Roman"/>
          <w:sz w:val="28"/>
          <w:szCs w:val="28"/>
          <w:lang w:val="uk-UA"/>
        </w:rPr>
        <w:t xml:space="preserve"> життя та економіки, змінюючи спосіб виробництва, споживання та взаємодії між людьми. У зв’язку з цим ринок праці також зазнає значних змін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DC1" w:rsidRDefault="003E3DC1" w:rsidP="00C71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720">
        <w:rPr>
          <w:rFonts w:ascii="Times New Roman" w:hAnsi="Times New Roman" w:cs="Times New Roman"/>
          <w:sz w:val="28"/>
          <w:szCs w:val="28"/>
          <w:lang w:val="uk-UA"/>
        </w:rPr>
        <w:t>Цифрова</w:t>
      </w:r>
      <w:r w:rsidR="00D60265">
        <w:rPr>
          <w:rFonts w:ascii="Times New Roman" w:hAnsi="Times New Roman" w:cs="Times New Roman"/>
          <w:sz w:val="28"/>
          <w:szCs w:val="28"/>
          <w:lang w:val="uk-UA"/>
        </w:rPr>
        <w:t xml:space="preserve"> економіка </w:t>
      </w:r>
      <w:r w:rsidR="00B1531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60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720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система, яка </w:t>
      </w:r>
      <w:r w:rsidR="00806C71" w:rsidRPr="00254720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Pr="00254720">
        <w:rPr>
          <w:rFonts w:ascii="Times New Roman" w:hAnsi="Times New Roman" w:cs="Times New Roman"/>
          <w:sz w:val="28"/>
          <w:szCs w:val="28"/>
          <w:lang w:val="uk-UA"/>
        </w:rPr>
        <w:t xml:space="preserve"> на інформаційних технологіях. Її використання допомагає значно підвищити ефективність і продуктивність виробничої діяльності </w:t>
      </w:r>
      <w:r w:rsidR="00E60C8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54720">
        <w:rPr>
          <w:rFonts w:ascii="Times New Roman" w:hAnsi="Times New Roman" w:cs="Times New Roman"/>
          <w:sz w:val="28"/>
          <w:szCs w:val="28"/>
          <w:lang w:val="uk-UA"/>
        </w:rPr>
        <w:t xml:space="preserve"> цінність </w:t>
      </w:r>
      <w:r w:rsidR="00E60C8F">
        <w:rPr>
          <w:rFonts w:ascii="Times New Roman" w:hAnsi="Times New Roman" w:cs="Times New Roman"/>
          <w:sz w:val="28"/>
          <w:szCs w:val="28"/>
          <w:lang w:val="uk-UA"/>
        </w:rPr>
        <w:t>товарів і</w:t>
      </w:r>
      <w:r w:rsidRPr="00254720">
        <w:rPr>
          <w:rFonts w:ascii="Times New Roman" w:hAnsi="Times New Roman" w:cs="Times New Roman"/>
          <w:sz w:val="28"/>
          <w:szCs w:val="28"/>
          <w:lang w:val="uk-UA"/>
        </w:rPr>
        <w:t xml:space="preserve"> послуг.</w:t>
      </w:r>
    </w:p>
    <w:p w:rsidR="00C714F3" w:rsidRDefault="00C714F3" w:rsidP="00C71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4F3"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Pr="00C714F3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представляє собою процес впровадження та застосування інформаційно-комунікаційних технологій та засобів у виробничих, розподільних, обмінних та споживчих процесах товарів та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4F3">
        <w:rPr>
          <w:rFonts w:ascii="Times New Roman" w:hAnsi="Times New Roman" w:cs="Times New Roman"/>
          <w:sz w:val="28"/>
          <w:szCs w:val="28"/>
          <w:lang w:val="uk-UA"/>
        </w:rPr>
        <w:t>[1].</w:t>
      </w:r>
    </w:p>
    <w:p w:rsidR="00C714F3" w:rsidRDefault="00C714F3" w:rsidP="00C71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F3">
        <w:rPr>
          <w:rFonts w:ascii="Times New Roman" w:hAnsi="Times New Roman" w:cs="Times New Roman"/>
          <w:sz w:val="28"/>
          <w:szCs w:val="28"/>
          <w:lang w:val="uk-UA"/>
        </w:rPr>
        <w:t>Цифрова економіка базується на інформаційно-комунікаційних технологіях, таких як Інтернет, смартфони, мобільні та бездротові мережі, оптичні мережі, Інтернет речей (</w:t>
      </w:r>
      <w:proofErr w:type="spellStart"/>
      <w:r w:rsidRPr="009D4541">
        <w:rPr>
          <w:rFonts w:ascii="Times New Roman" w:hAnsi="Times New Roman" w:cs="Times New Roman"/>
          <w:sz w:val="28"/>
          <w:szCs w:val="28"/>
          <w:lang w:val="en-US"/>
        </w:rPr>
        <w:t>IoT</w:t>
      </w:r>
      <w:proofErr w:type="spellEnd"/>
      <w:r w:rsidRPr="00C714F3">
        <w:rPr>
          <w:rFonts w:ascii="Times New Roman" w:hAnsi="Times New Roman" w:cs="Times New Roman"/>
          <w:sz w:val="28"/>
          <w:szCs w:val="28"/>
          <w:lang w:val="uk-UA"/>
        </w:rPr>
        <w:t xml:space="preserve">), хмарні сховища та хмарні обчислення, сервіси спільного доступу, додатки та </w:t>
      </w:r>
      <w:proofErr w:type="spellStart"/>
      <w:r w:rsidRPr="00C714F3">
        <w:rPr>
          <w:rFonts w:ascii="Times New Roman" w:hAnsi="Times New Roman" w:cs="Times New Roman"/>
          <w:sz w:val="28"/>
          <w:szCs w:val="28"/>
          <w:lang w:val="uk-UA"/>
        </w:rPr>
        <w:t>криптовалюти</w:t>
      </w:r>
      <w:proofErr w:type="spellEnd"/>
      <w:r w:rsidRPr="00C714F3">
        <w:rPr>
          <w:rFonts w:ascii="Times New Roman" w:hAnsi="Times New Roman" w:cs="Times New Roman"/>
          <w:sz w:val="28"/>
          <w:szCs w:val="28"/>
          <w:lang w:val="uk-UA"/>
        </w:rPr>
        <w:t>. Масштаби та вплив цифрової економіки визначаються тим, як люди користуються цими технологіями</w:t>
      </w:r>
      <w:r w:rsidR="00806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C71" w:rsidRPr="00806C71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Pr="00C71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4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78B8" w:rsidRDefault="00B1531F" w:rsidP="00C71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D4541">
        <w:rPr>
          <w:rFonts w:ascii="Times New Roman" w:hAnsi="Times New Roman" w:cs="Times New Roman"/>
          <w:sz w:val="28"/>
          <w:szCs w:val="28"/>
          <w:lang w:val="uk-UA"/>
        </w:rPr>
        <w:t>уло проаналізовано розповсюдженість Інтернету по всьому світу. Так на рис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4541">
        <w:rPr>
          <w:rFonts w:ascii="Times New Roman" w:hAnsi="Times New Roman" w:cs="Times New Roman"/>
          <w:sz w:val="28"/>
          <w:szCs w:val="28"/>
          <w:lang w:val="uk-UA"/>
        </w:rPr>
        <w:t xml:space="preserve"> 1 відображена кількість тих, хто користується цією мереж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D4541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9D78B8">
        <w:rPr>
          <w:rFonts w:ascii="Times New Roman" w:hAnsi="Times New Roman" w:cs="Times New Roman"/>
          <w:sz w:val="28"/>
          <w:szCs w:val="28"/>
          <w:lang w:val="uk-UA"/>
        </w:rPr>
        <w:t xml:space="preserve"> З січня 2018 </w:t>
      </w:r>
      <w:r w:rsidR="009D78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року кількість користувачів мережі Інтернет почала стрімко зростати. Так за 5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8B8">
        <w:rPr>
          <w:rFonts w:ascii="Times New Roman" w:hAnsi="Times New Roman" w:cs="Times New Roman"/>
          <w:sz w:val="28"/>
          <w:szCs w:val="28"/>
          <w:lang w:val="uk-UA"/>
        </w:rPr>
        <w:t xml:space="preserve">збільшився на 1,139 млрд осіб. </w:t>
      </w:r>
    </w:p>
    <w:p w:rsidR="00C714F3" w:rsidRDefault="009D78B8" w:rsidP="009D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мережа Інтернет дозволяє створити простір для бізнесу та залучати велику кількість користувачів з країни або навіть і світу. Тож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популярною стала дистанційна форма роботи, що дає можливість залучати фахівців з будь-якого кут</w:t>
      </w:r>
      <w:r w:rsidR="00B1531F">
        <w:rPr>
          <w:rFonts w:ascii="Times New Roman" w:hAnsi="Times New Roman" w:cs="Times New Roman"/>
          <w:sz w:val="28"/>
          <w:szCs w:val="28"/>
          <w:lang w:val="uk-UA"/>
        </w:rPr>
        <w:t>очка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світу.</w:t>
      </w:r>
    </w:p>
    <w:p w:rsidR="00C714F3" w:rsidRPr="00C714F3" w:rsidRDefault="00C714F3" w:rsidP="009D7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DC1" w:rsidRDefault="00254720" w:rsidP="00557A3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7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23729" wp14:editId="170BD465">
            <wp:extent cx="6152606" cy="2743200"/>
            <wp:effectExtent l="0" t="0" r="1968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4720" w:rsidRDefault="00254720" w:rsidP="00B153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Кількість користувачів Інтернет</w:t>
      </w:r>
      <w:r w:rsidR="00B1531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2018-2023 рр. (млрд осіб)</w:t>
      </w:r>
    </w:p>
    <w:p w:rsidR="00254720" w:rsidRPr="00B1531F" w:rsidRDefault="00254720" w:rsidP="00B1531F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153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створено авторами за даними </w:t>
      </w:r>
      <w:r w:rsidR="00806C71" w:rsidRPr="00B1531F">
        <w:rPr>
          <w:rFonts w:ascii="Times New Roman" w:hAnsi="Times New Roman" w:cs="Times New Roman"/>
          <w:i/>
          <w:sz w:val="24"/>
          <w:szCs w:val="24"/>
        </w:rPr>
        <w:t>[3</w:t>
      </w:r>
      <w:r w:rsidRPr="00B1531F">
        <w:rPr>
          <w:rFonts w:ascii="Times New Roman" w:hAnsi="Times New Roman" w:cs="Times New Roman"/>
          <w:i/>
          <w:sz w:val="24"/>
          <w:szCs w:val="24"/>
        </w:rPr>
        <w:t>]</w:t>
      </w:r>
    </w:p>
    <w:p w:rsidR="00254720" w:rsidRDefault="00254720" w:rsidP="00E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D3D" w:rsidRPr="00685D3D" w:rsidRDefault="0045150E" w:rsidP="0068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рис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зображено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зміну у відсотках кількості населення, яке користується Інтернетом. Попри те, що населення за 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останні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років активно збільшувалося, відсоток тих, хто користується мережею теж стрімко зростав.</w:t>
      </w:r>
      <w:r w:rsidR="00685D3D" w:rsidRPr="00685D3D">
        <w:rPr>
          <w:rFonts w:ascii="Times New Roman" w:hAnsi="Times New Roman" w:cs="Times New Roman"/>
          <w:sz w:val="28"/>
          <w:szCs w:val="28"/>
        </w:rPr>
        <w:t xml:space="preserve"> </w:t>
      </w:r>
      <w:r w:rsidR="00685D3D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B153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5D3D">
        <w:rPr>
          <w:rFonts w:ascii="Times New Roman" w:hAnsi="Times New Roman" w:cs="Times New Roman"/>
          <w:sz w:val="28"/>
          <w:szCs w:val="28"/>
          <w:lang w:val="uk-UA"/>
        </w:rPr>
        <w:t xml:space="preserve"> з рис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5D3D">
        <w:rPr>
          <w:rFonts w:ascii="Times New Roman" w:hAnsi="Times New Roman" w:cs="Times New Roman"/>
          <w:sz w:val="28"/>
          <w:szCs w:val="28"/>
          <w:lang w:val="uk-UA"/>
        </w:rPr>
        <w:t xml:space="preserve"> 2 видно, що відсоток користувачів Інтернетом лише за останні 5 років збільшився на 11,4% (з 53% до 64,4%). </w:t>
      </w:r>
    </w:p>
    <w:p w:rsidR="0045150E" w:rsidRPr="00E60C8F" w:rsidRDefault="0045150E" w:rsidP="00451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548" w:rsidRDefault="00B37548" w:rsidP="00846B5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45BE789" wp14:editId="714454F4">
            <wp:extent cx="5799909" cy="2495006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531F" w:rsidRDefault="00B1531F" w:rsidP="00B153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7548" w:rsidRDefault="00B37548" w:rsidP="00B153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B62C0F">
        <w:rPr>
          <w:rFonts w:ascii="Times New Roman" w:hAnsi="Times New Roman" w:cs="Times New Roman"/>
          <w:sz w:val="28"/>
          <w:szCs w:val="28"/>
          <w:lang w:val="uk-UA"/>
        </w:rPr>
        <w:t>Відсоток користувачів Інтернетом у 2018-2023 рр.</w:t>
      </w:r>
    </w:p>
    <w:p w:rsidR="00B62C0F" w:rsidRPr="00B1531F" w:rsidRDefault="001A6069" w:rsidP="00B1531F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53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створено авторами за даними </w:t>
      </w:r>
      <w:r w:rsidR="00806C71" w:rsidRPr="00B1531F">
        <w:rPr>
          <w:rFonts w:ascii="Times New Roman" w:hAnsi="Times New Roman" w:cs="Times New Roman"/>
          <w:i/>
          <w:sz w:val="24"/>
          <w:szCs w:val="24"/>
        </w:rPr>
        <w:t>[3</w:t>
      </w:r>
      <w:r w:rsidR="00557A33" w:rsidRPr="00B1531F">
        <w:rPr>
          <w:rFonts w:ascii="Times New Roman" w:hAnsi="Times New Roman" w:cs="Times New Roman"/>
          <w:i/>
          <w:sz w:val="24"/>
          <w:szCs w:val="24"/>
        </w:rPr>
        <w:t>]</w:t>
      </w:r>
    </w:p>
    <w:p w:rsidR="00557A33" w:rsidRPr="00557A33" w:rsidRDefault="00557A33" w:rsidP="00685D3D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60265" w:rsidRDefault="00545AC3" w:rsidP="00667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тенденції розвитку ринку праці тісно пов’</w:t>
      </w:r>
      <w:r w:rsidR="007D0D66">
        <w:rPr>
          <w:rFonts w:ascii="Times New Roman" w:hAnsi="Times New Roman" w:cs="Times New Roman"/>
          <w:sz w:val="28"/>
          <w:szCs w:val="28"/>
          <w:lang w:val="uk-UA"/>
        </w:rPr>
        <w:t xml:space="preserve">язані з </w:t>
      </w:r>
      <w:proofErr w:type="spellStart"/>
      <w:r w:rsidR="007D0D66">
        <w:rPr>
          <w:rFonts w:ascii="Times New Roman" w:hAnsi="Times New Roman" w:cs="Times New Roman"/>
          <w:sz w:val="28"/>
          <w:szCs w:val="28"/>
          <w:lang w:val="uk-UA"/>
        </w:rPr>
        <w:t>цифровізацією</w:t>
      </w:r>
      <w:proofErr w:type="spellEnd"/>
      <w:r w:rsidR="007D0D66">
        <w:rPr>
          <w:rFonts w:ascii="Times New Roman" w:hAnsi="Times New Roman" w:cs="Times New Roman"/>
          <w:sz w:val="28"/>
          <w:szCs w:val="28"/>
          <w:lang w:val="uk-UA"/>
        </w:rPr>
        <w:t xml:space="preserve"> економ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0D66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5D3D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31F">
        <w:rPr>
          <w:rFonts w:ascii="Times New Roman" w:hAnsi="Times New Roman" w:cs="Times New Roman"/>
          <w:sz w:val="28"/>
          <w:szCs w:val="28"/>
          <w:lang w:val="uk-UA"/>
        </w:rPr>
        <w:t>затребуваними є</w:t>
      </w:r>
      <w:r w:rsidR="007D0D66">
        <w:rPr>
          <w:rFonts w:ascii="Times New Roman" w:hAnsi="Times New Roman" w:cs="Times New Roman"/>
          <w:sz w:val="28"/>
          <w:szCs w:val="28"/>
          <w:lang w:val="uk-UA"/>
        </w:rPr>
        <w:t xml:space="preserve"> фахівці у галузі інформаційних технологій. Необхідні </w:t>
      </w:r>
      <w:r w:rsidR="00685D3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D0D66">
        <w:rPr>
          <w:rFonts w:ascii="Times New Roman" w:hAnsi="Times New Roman" w:cs="Times New Roman"/>
          <w:sz w:val="28"/>
          <w:szCs w:val="28"/>
          <w:lang w:val="uk-UA"/>
        </w:rPr>
        <w:t xml:space="preserve">кадри, які зможуть розробляти, підтримувати та удосконалювати програмне забезпечення. Окрім того, </w:t>
      </w:r>
      <w:r w:rsidR="00685D3D">
        <w:rPr>
          <w:rFonts w:ascii="Times New Roman" w:hAnsi="Times New Roman" w:cs="Times New Roman"/>
          <w:sz w:val="28"/>
          <w:szCs w:val="28"/>
          <w:lang w:val="uk-UA"/>
        </w:rPr>
        <w:t>затребувані</w:t>
      </w:r>
      <w:r w:rsidR="007D0D66">
        <w:rPr>
          <w:rFonts w:ascii="Times New Roman" w:hAnsi="Times New Roman" w:cs="Times New Roman"/>
          <w:sz w:val="28"/>
          <w:szCs w:val="28"/>
          <w:lang w:val="uk-UA"/>
        </w:rPr>
        <w:t xml:space="preserve"> і ті, хто буде захищати дані, які знаходяться в мережі Інтернет.</w:t>
      </w:r>
    </w:p>
    <w:p w:rsidR="00667C58" w:rsidRDefault="00667C58" w:rsidP="00F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варто розуміти,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як позитивний, так і негативний вплив на ринок праці (табл</w:t>
      </w:r>
      <w:r w:rsidR="00557A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1).</w:t>
      </w:r>
    </w:p>
    <w:p w:rsidR="00F64692" w:rsidRDefault="00F64692" w:rsidP="00F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D3D" w:rsidRPr="00D957F6" w:rsidRDefault="00685D3D" w:rsidP="00B153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1. Вплив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тенденції розвитку ринку праці</w:t>
      </w:r>
    </w:p>
    <w:tbl>
      <w:tblPr>
        <w:tblStyle w:val="a7"/>
        <w:tblW w:w="9628" w:type="dxa"/>
        <w:tblInd w:w="25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7C58" w:rsidTr="00B1531F"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Позитивний вплив</w:t>
            </w:r>
          </w:p>
        </w:tc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вплив</w:t>
            </w:r>
          </w:p>
        </w:tc>
      </w:tr>
      <w:tr w:rsidR="00667C58" w:rsidTr="00B1531F">
        <w:trPr>
          <w:trHeight w:val="817"/>
        </w:trPr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робочих місць у галузі ІТ-технологій</w:t>
            </w:r>
          </w:p>
        </w:tc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робочих місць у тих сферах, які можна автоматизувати за допомогою роботів та штучного інтелекту (ШІ)</w:t>
            </w:r>
          </w:p>
        </w:tc>
      </w:tr>
      <w:tr w:rsidR="00667C58" w:rsidTr="00B1531F"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працювати дистанційно з будь-якого місця чи країни (гнучкість)</w:t>
            </w:r>
          </w:p>
        </w:tc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соціальної нерівності, адже 35,6% людей не м</w:t>
            </w:r>
            <w:r w:rsid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ають доступу до Інтернету (</w:t>
            </w: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рис. 2)</w:t>
            </w:r>
          </w:p>
        </w:tc>
      </w:tr>
      <w:tr w:rsidR="00667C58" w:rsidTr="00B1531F"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Поява нових «інтелектуальних» професій</w:t>
            </w:r>
          </w:p>
        </w:tc>
        <w:tc>
          <w:tcPr>
            <w:tcW w:w="4814" w:type="dxa"/>
            <w:vAlign w:val="center"/>
          </w:tcPr>
          <w:p w:rsidR="00667C58" w:rsidRPr="00B1531F" w:rsidRDefault="00796EF5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Зменшення попиту на традиційні галузі, які втратили конкурентоспроможність через </w:t>
            </w:r>
            <w:proofErr w:type="spellStart"/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цифровізацію</w:t>
            </w:r>
            <w:proofErr w:type="spellEnd"/>
          </w:p>
        </w:tc>
      </w:tr>
      <w:tr w:rsidR="00667C58" w:rsidTr="00B1531F">
        <w:tc>
          <w:tcPr>
            <w:tcW w:w="4814" w:type="dxa"/>
            <w:vAlign w:val="center"/>
          </w:tcPr>
          <w:p w:rsidR="00667C58" w:rsidRPr="00B1531F" w:rsidRDefault="00667C58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продуктивності завдяки автоматизації процесів</w:t>
            </w:r>
          </w:p>
        </w:tc>
        <w:tc>
          <w:tcPr>
            <w:tcW w:w="4814" w:type="dxa"/>
            <w:vAlign w:val="center"/>
          </w:tcPr>
          <w:p w:rsidR="00667C58" w:rsidRPr="00B1531F" w:rsidRDefault="003C284D" w:rsidP="00B153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Зростання безробіття</w:t>
            </w:r>
          </w:p>
        </w:tc>
      </w:tr>
    </w:tbl>
    <w:p w:rsidR="00667C58" w:rsidRPr="00B1531F" w:rsidRDefault="00685D3D" w:rsidP="00B153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3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створено авторами на основі </w:t>
      </w:r>
      <w:r w:rsidRPr="00B1531F">
        <w:rPr>
          <w:rFonts w:ascii="Times New Roman" w:hAnsi="Times New Roman" w:cs="Times New Roman"/>
          <w:i/>
          <w:sz w:val="24"/>
          <w:szCs w:val="24"/>
        </w:rPr>
        <w:t>[4</w:t>
      </w:r>
      <w:r w:rsidR="00F13BD2" w:rsidRPr="00B1531F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B1531F">
        <w:rPr>
          <w:rFonts w:ascii="Times New Roman" w:hAnsi="Times New Roman" w:cs="Times New Roman"/>
          <w:i/>
          <w:sz w:val="24"/>
          <w:szCs w:val="24"/>
        </w:rPr>
        <w:t>5].</w:t>
      </w:r>
    </w:p>
    <w:p w:rsidR="00F64692" w:rsidRPr="00F64692" w:rsidRDefault="00F64692" w:rsidP="00F64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3D" w:rsidRDefault="00B1531F" w:rsidP="00F64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Вплив </w:t>
      </w:r>
      <w:proofErr w:type="spellStart"/>
      <w:r w:rsidR="00FF5B80">
        <w:rPr>
          <w:rFonts w:ascii="Times New Roman" w:hAnsi="Times New Roman" w:cs="Times New Roman"/>
          <w:sz w:val="28"/>
          <w:szCs w:val="28"/>
          <w:lang w:val="uk-UA"/>
        </w:rPr>
        <w:t>цифровізаці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 на ринок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деякі аспекти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>: цінуватимуться творчі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 та креативні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, фахівці у галузі інформаційних технологій,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E63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 мають критичне мислення та здатні до особистісного розвитку, 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 таки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персонал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 роботами замінити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 xml:space="preserve"> не представляється можливим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 xml:space="preserve">. Звісно, деякі професії можуть зникнути або попит на них може значно скоротитися у зв’язку з автоматизацією процесів, наприклад 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 xml:space="preserve">це професії 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>касир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F5B80">
        <w:rPr>
          <w:rFonts w:ascii="Times New Roman" w:hAnsi="Times New Roman" w:cs="Times New Roman"/>
          <w:sz w:val="28"/>
          <w:szCs w:val="28"/>
          <w:lang w:val="uk-UA"/>
        </w:rPr>
        <w:t>, адміністратор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F64692" w:rsidRDefault="00E353E2" w:rsidP="00692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="00F64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692"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="00F64692">
        <w:rPr>
          <w:rFonts w:ascii="Times New Roman" w:hAnsi="Times New Roman" w:cs="Times New Roman"/>
          <w:sz w:val="28"/>
          <w:szCs w:val="28"/>
          <w:lang w:val="uk-UA"/>
        </w:rPr>
        <w:t xml:space="preserve"> спонукатиме людей розвиватися, ставати більш обізнаними, унікальними та креативними.</w:t>
      </w:r>
    </w:p>
    <w:p w:rsidR="00F64692" w:rsidRDefault="00F64692" w:rsidP="00692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у найближчі п’ять років ринок праці стрімко зміниться. Так, наприклад, </w:t>
      </w:r>
      <w:r w:rsidRPr="00F64692">
        <w:rPr>
          <w:rFonts w:ascii="Times New Roman" w:hAnsi="Times New Roman" w:cs="Times New Roman"/>
          <w:sz w:val="28"/>
          <w:szCs w:val="28"/>
          <w:lang w:val="uk-UA"/>
        </w:rPr>
        <w:t xml:space="preserve">85% опитаних 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командою «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F6469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6469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 вважають використання нових технологій і розширення цифрового доступу найімовірнішими тенденціями трансформації бізнесу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2023-2027 рр</w:t>
      </w:r>
      <w:r w:rsidRPr="00F64692">
        <w:rPr>
          <w:rFonts w:ascii="Times New Roman" w:hAnsi="Times New Roman" w:cs="Times New Roman"/>
          <w:sz w:val="28"/>
          <w:szCs w:val="28"/>
          <w:lang w:val="uk-UA"/>
        </w:rPr>
        <w:t>. Понад 75% підприємств планують запровадити технологію аналізу великих даних, хмарні обчислення та штучний інтелект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692">
        <w:rPr>
          <w:rFonts w:ascii="Times New Roman" w:hAnsi="Times New Roman" w:cs="Times New Roman"/>
          <w:sz w:val="28"/>
          <w:szCs w:val="28"/>
        </w:rPr>
        <w:t>[6]</w:t>
      </w:r>
      <w:r w:rsidRPr="00F64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B40" w:rsidRDefault="00692B40" w:rsidP="00692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B40">
        <w:rPr>
          <w:rFonts w:ascii="Times New Roman" w:hAnsi="Times New Roman" w:cs="Times New Roman"/>
          <w:sz w:val="28"/>
          <w:szCs w:val="28"/>
          <w:lang w:val="uk-UA"/>
        </w:rPr>
        <w:t>Що стосується впровадження роботів</w:t>
      </w:r>
      <w:r w:rsidR="0026081F" w:rsidRPr="00260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81F">
        <w:rPr>
          <w:rFonts w:ascii="Times New Roman" w:hAnsi="Times New Roman" w:cs="Times New Roman"/>
          <w:sz w:val="28"/>
          <w:szCs w:val="28"/>
          <w:lang w:val="uk-UA"/>
        </w:rPr>
        <w:t>(рис</w:t>
      </w:r>
      <w:r w:rsidR="00F13B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81F">
        <w:rPr>
          <w:rFonts w:ascii="Times New Roman" w:hAnsi="Times New Roman" w:cs="Times New Roman"/>
          <w:sz w:val="28"/>
          <w:szCs w:val="28"/>
          <w:lang w:val="uk-UA"/>
        </w:rPr>
        <w:t xml:space="preserve"> 3)</w:t>
      </w:r>
      <w:r w:rsidRPr="00692B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692B40">
        <w:rPr>
          <w:rFonts w:ascii="Times New Roman" w:hAnsi="Times New Roman" w:cs="Times New Roman"/>
          <w:sz w:val="28"/>
          <w:szCs w:val="28"/>
          <w:lang w:val="uk-UA"/>
        </w:rPr>
        <w:t>дані Міжнародної федерації робототехніки показують, що кіль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кість промислових роботів на 10 </w:t>
      </w:r>
      <w:r w:rsidRPr="00692B40">
        <w:rPr>
          <w:rFonts w:ascii="Times New Roman" w:hAnsi="Times New Roman" w:cs="Times New Roman"/>
          <w:sz w:val="28"/>
          <w:szCs w:val="28"/>
          <w:lang w:val="uk-UA"/>
        </w:rPr>
        <w:t xml:space="preserve">000 працівників у різних країнах продовжувала швидко зростати протягом останніх п’яти років. Щільність роботів майже подвоїлася за </w:t>
      </w:r>
      <w:r>
        <w:rPr>
          <w:rFonts w:ascii="Times New Roman" w:hAnsi="Times New Roman" w:cs="Times New Roman"/>
          <w:sz w:val="28"/>
          <w:szCs w:val="28"/>
          <w:lang w:val="uk-UA"/>
        </w:rPr>
        <w:t>цей період</w:t>
      </w:r>
      <w:r w:rsidRPr="00692B40">
        <w:rPr>
          <w:rFonts w:ascii="Times New Roman" w:hAnsi="Times New Roman" w:cs="Times New Roman"/>
          <w:sz w:val="28"/>
          <w:szCs w:val="28"/>
          <w:lang w:val="uk-UA"/>
        </w:rPr>
        <w:t xml:space="preserve"> і склала в середньому 126 промислових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роботів на 10 000 працівників. </w:t>
      </w:r>
      <w:r w:rsidRPr="00692B40">
        <w:rPr>
          <w:rFonts w:ascii="Times New Roman" w:hAnsi="Times New Roman" w:cs="Times New Roman"/>
          <w:sz w:val="28"/>
          <w:szCs w:val="28"/>
          <w:lang w:val="uk-UA"/>
        </w:rPr>
        <w:t>Сьогодні 34% бізнес-завдань виконуються машинами</w:t>
      </w:r>
      <w:r w:rsidR="0026081F">
        <w:rPr>
          <w:rFonts w:ascii="Times New Roman" w:hAnsi="Times New Roman" w:cs="Times New Roman"/>
          <w:sz w:val="28"/>
          <w:szCs w:val="28"/>
          <w:lang w:val="uk-UA"/>
        </w:rPr>
        <w:t>, а решта 66% виконує</w:t>
      </w:r>
      <w:r w:rsidRPr="00692B40">
        <w:rPr>
          <w:rFonts w:ascii="Times New Roman" w:hAnsi="Times New Roman" w:cs="Times New Roman"/>
          <w:sz w:val="28"/>
          <w:szCs w:val="28"/>
          <w:lang w:val="uk-UA"/>
        </w:rPr>
        <w:t>ться людьми</w:t>
      </w:r>
      <w:r w:rsidR="002608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92B40">
        <w:rPr>
          <w:rFonts w:ascii="Times New Roman" w:hAnsi="Times New Roman" w:cs="Times New Roman"/>
          <w:sz w:val="28"/>
          <w:szCs w:val="28"/>
        </w:rPr>
        <w:t>[5]</w:t>
      </w:r>
      <w:r w:rsidRPr="00692B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B40" w:rsidRDefault="00692B40" w:rsidP="00692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692" w:rsidRDefault="00F64692" w:rsidP="00692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36AB2E9" wp14:editId="4878BD86">
            <wp:extent cx="5661660" cy="30480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4692" w:rsidRDefault="00F64692" w:rsidP="00E353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r w:rsidRPr="00F64692">
        <w:rPr>
          <w:rFonts w:ascii="Times New Roman" w:hAnsi="Times New Roman" w:cs="Times New Roman"/>
          <w:sz w:val="28"/>
          <w:szCs w:val="28"/>
          <w:lang w:val="uk-UA"/>
        </w:rPr>
        <w:t>Річні установки промислових роботів</w:t>
      </w:r>
      <w:r w:rsidR="003A3D78">
        <w:rPr>
          <w:rFonts w:ascii="Times New Roman" w:hAnsi="Times New Roman" w:cs="Times New Roman"/>
          <w:sz w:val="28"/>
          <w:szCs w:val="28"/>
          <w:lang w:val="uk-UA"/>
        </w:rPr>
        <w:t xml:space="preserve"> у світі</w:t>
      </w:r>
      <w:r w:rsidRPr="00F64692">
        <w:rPr>
          <w:rFonts w:ascii="Times New Roman" w:hAnsi="Times New Roman" w:cs="Times New Roman"/>
          <w:sz w:val="28"/>
          <w:szCs w:val="28"/>
          <w:lang w:val="uk-UA"/>
        </w:rPr>
        <w:t xml:space="preserve"> (тис. одиниць)</w:t>
      </w:r>
    </w:p>
    <w:p w:rsidR="00692B40" w:rsidRPr="00E353E2" w:rsidRDefault="00692B40" w:rsidP="00E353E2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353E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створено авторами за даними </w:t>
      </w:r>
      <w:r w:rsidR="00E353E2" w:rsidRPr="00E353E2">
        <w:rPr>
          <w:rFonts w:ascii="Times New Roman" w:hAnsi="Times New Roman" w:cs="Times New Roman"/>
          <w:i/>
          <w:sz w:val="24"/>
          <w:szCs w:val="24"/>
        </w:rPr>
        <w:t>[7]</w:t>
      </w:r>
    </w:p>
    <w:p w:rsidR="00692B40" w:rsidRPr="00692B40" w:rsidRDefault="00692B40" w:rsidP="00692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D78" w:rsidRDefault="00692B40" w:rsidP="003A3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у найближчі роки в тренді будуть професії у сфері цифрової економіки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3D78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Користуватимуться попитом і «зелені» вакансії, тобто ті, що пов’язані із зеленою економікою та виконанням цілей сталого розвитку. </w:t>
      </w:r>
      <w:proofErr w:type="spellStart"/>
      <w:r w:rsidR="003A3D78"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="003A3D78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сприятиме цьому процесу.</w:t>
      </w:r>
    </w:p>
    <w:p w:rsidR="00692B40" w:rsidRDefault="003A3D78" w:rsidP="003A3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— це процес, який свідчить про еволюцію суспільства.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створи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велику кількість нових робочих місць, робить ринок праці більш гнучким, а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 вимагатиме від 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аналітичного, творчого мислення, обізнаності з інформаційних технологій. </w:t>
      </w:r>
      <w:r w:rsidR="00E353E2" w:rsidRPr="00E353E2">
        <w:rPr>
          <w:rFonts w:ascii="Times New Roman" w:hAnsi="Times New Roman" w:cs="Times New Roman"/>
          <w:sz w:val="28"/>
          <w:szCs w:val="28"/>
          <w:lang w:val="uk-UA"/>
        </w:rPr>
        <w:t>Швидкий темп розвитку технологій і цифрова трансформація вже зараз формують майбутнє суспільства і ринку праці. Освоєння нових технологій та навичок стає необхідністю для успішного функціонування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353E2" w:rsidRPr="00E353E2">
        <w:rPr>
          <w:rFonts w:ascii="Times New Roman" w:hAnsi="Times New Roman" w:cs="Times New Roman"/>
          <w:sz w:val="28"/>
          <w:szCs w:val="28"/>
          <w:lang w:val="uk-UA"/>
        </w:rPr>
        <w:t xml:space="preserve"> адапт</w:t>
      </w:r>
      <w:r w:rsidR="00E353E2">
        <w:rPr>
          <w:rFonts w:ascii="Times New Roman" w:hAnsi="Times New Roman" w:cs="Times New Roman"/>
          <w:sz w:val="28"/>
          <w:szCs w:val="28"/>
          <w:lang w:val="uk-UA"/>
        </w:rPr>
        <w:t xml:space="preserve">ації </w:t>
      </w:r>
      <w:r w:rsidR="00E353E2" w:rsidRPr="00E353E2">
        <w:rPr>
          <w:rFonts w:ascii="Times New Roman" w:hAnsi="Times New Roman" w:cs="Times New Roman"/>
          <w:sz w:val="28"/>
          <w:szCs w:val="28"/>
          <w:lang w:val="uk-UA"/>
        </w:rPr>
        <w:t>до змін в сучасному світі.</w:t>
      </w:r>
    </w:p>
    <w:p w:rsidR="003A3D78" w:rsidRPr="00692B40" w:rsidRDefault="003A3D78" w:rsidP="003A3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548" w:rsidRPr="00E353E2" w:rsidRDefault="00E353E2" w:rsidP="00B375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B37548" w:rsidRPr="00103795" w:rsidRDefault="002955BA" w:rsidP="002955B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795">
        <w:rPr>
          <w:rFonts w:ascii="Times New Roman" w:hAnsi="Times New Roman" w:cs="Times New Roman"/>
          <w:sz w:val="24"/>
          <w:szCs w:val="24"/>
          <w:lang w:val="uk-UA"/>
        </w:rPr>
        <w:t>Самойлович</w:t>
      </w:r>
      <w:r w:rsidR="00C714F3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А. Г. Організаційно-економічне забезпечення </w:t>
      </w:r>
      <w:proofErr w:type="spellStart"/>
      <w:r w:rsidR="00C714F3" w:rsidRPr="00103795">
        <w:rPr>
          <w:rFonts w:ascii="Times New Roman" w:hAnsi="Times New Roman" w:cs="Times New Roman"/>
          <w:sz w:val="24"/>
          <w:szCs w:val="24"/>
          <w:lang w:val="uk-UA"/>
        </w:rPr>
        <w:t>цифровізації</w:t>
      </w:r>
      <w:proofErr w:type="spellEnd"/>
      <w:r w:rsidR="00C714F3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регіональних економічних систем : </w:t>
      </w:r>
      <w:proofErr w:type="spellStart"/>
      <w:r w:rsidR="00C714F3" w:rsidRPr="00103795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="00C714F3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957F6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="00C714F3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д-ра філософії : 073 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103795">
        <w:rPr>
          <w:rFonts w:ascii="Times New Roman" w:hAnsi="Times New Roman" w:cs="Times New Roman"/>
          <w:sz w:val="24"/>
          <w:szCs w:val="24"/>
          <w:lang w:val="uk-UA"/>
        </w:rPr>
        <w:t>Нац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>ун</w:t>
      </w:r>
      <w:proofErr w:type="spellEnd"/>
      <w:r w:rsidRPr="001037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>т «Чернігівська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>політехніка»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14F3" w:rsidRPr="00103795">
        <w:rPr>
          <w:rFonts w:ascii="Times New Roman" w:hAnsi="Times New Roman" w:cs="Times New Roman"/>
          <w:sz w:val="24"/>
          <w:szCs w:val="24"/>
          <w:lang w:val="uk-UA"/>
        </w:rPr>
        <w:t>Чернігів, 2023. 302 с.</w:t>
      </w:r>
    </w:p>
    <w:p w:rsidR="00806C71" w:rsidRPr="00103795" w:rsidRDefault="00806C71" w:rsidP="002955B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795">
        <w:rPr>
          <w:rFonts w:ascii="Times New Roman" w:hAnsi="Times New Roman" w:cs="Times New Roman"/>
          <w:sz w:val="24"/>
          <w:szCs w:val="24"/>
          <w:lang w:val="uk-UA"/>
        </w:rPr>
        <w:lastRenderedPageBreak/>
        <w:t>Ø</w:t>
      </w:r>
      <w:proofErr w:type="spellStart"/>
      <w:r w:rsidRPr="00103795">
        <w:rPr>
          <w:rFonts w:ascii="Times New Roman" w:hAnsi="Times New Roman" w:cs="Times New Roman"/>
          <w:sz w:val="24"/>
          <w:szCs w:val="24"/>
          <w:lang w:val="en-US"/>
        </w:rPr>
        <w:t>verby</w:t>
      </w:r>
      <w:proofErr w:type="spellEnd"/>
      <w:r w:rsidRPr="00103795">
        <w:rPr>
          <w:rFonts w:ascii="Times New Roman" w:hAnsi="Times New Roman" w:cs="Times New Roman"/>
          <w:sz w:val="24"/>
          <w:szCs w:val="24"/>
          <w:lang w:val="en-US"/>
        </w:rPr>
        <w:t> H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103795">
        <w:rPr>
          <w:rFonts w:ascii="Times New Roman" w:hAnsi="Times New Roman" w:cs="Times New Roman"/>
          <w:sz w:val="24"/>
          <w:szCs w:val="24"/>
          <w:lang w:val="en-US"/>
        </w:rPr>
        <w:t>Audestad</w:t>
      </w:r>
      <w:proofErr w:type="spellEnd"/>
      <w:r w:rsidRPr="00103795">
        <w:rPr>
          <w:rFonts w:ascii="Times New Roman" w:hAnsi="Times New Roman" w:cs="Times New Roman"/>
          <w:sz w:val="24"/>
          <w:szCs w:val="24"/>
          <w:lang w:val="en-US"/>
        </w:rPr>
        <w:t> J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 A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103795">
        <w:rPr>
          <w:rFonts w:ascii="Times New Roman" w:hAnsi="Times New Roman" w:cs="Times New Roman"/>
          <w:sz w:val="24"/>
          <w:szCs w:val="24"/>
          <w:lang w:val="en-US"/>
        </w:rPr>
        <w:t>Cham 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gramEnd"/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, 2021.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13BD2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0" w:tgtFrame="_blank" w:history="1"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https://doi.org/10.1007/978-3-030-78237-5</w:t>
        </w:r>
      </w:hyperlink>
      <w:r w:rsidRPr="0010379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37548" w:rsidRPr="00103795" w:rsidRDefault="00F13BD2" w:rsidP="002955B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795">
        <w:rPr>
          <w:rFonts w:ascii="Times New Roman" w:hAnsi="Times New Roman" w:cs="Times New Roman"/>
          <w:iCs/>
          <w:sz w:val="24"/>
          <w:szCs w:val="24"/>
          <w:lang w:val="en-US"/>
        </w:rPr>
        <w:t>Global Digital Insights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B37548" w:rsidRPr="00103795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DataReportal</w:t>
      </w:r>
      <w:proofErr w:type="spellEnd"/>
      <w:r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:</w:t>
      </w:r>
      <w:proofErr w:type="gramEnd"/>
      <w:r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103795">
        <w:rPr>
          <w:rFonts w:ascii="Times New Roman" w:hAnsi="Times New Roman" w:cs="Times New Roman"/>
          <w:iCs/>
          <w:sz w:val="24"/>
          <w:szCs w:val="24"/>
          <w:lang w:val="uk-UA"/>
        </w:rPr>
        <w:t>official</w:t>
      </w:r>
      <w:proofErr w:type="spellEnd"/>
      <w:r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103795">
        <w:rPr>
          <w:rFonts w:ascii="Times New Roman" w:hAnsi="Times New Roman" w:cs="Times New Roman"/>
          <w:iCs/>
          <w:sz w:val="24"/>
          <w:szCs w:val="24"/>
          <w:lang w:val="uk-UA"/>
        </w:rPr>
        <w:t>site</w:t>
      </w:r>
      <w:proofErr w:type="spellEnd"/>
      <w:r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  <w:r w:rsidR="00B37548" w:rsidRPr="00103795">
        <w:rPr>
          <w:rFonts w:ascii="Times New Roman" w:hAnsi="Times New Roman" w:cs="Times New Roman"/>
          <w:sz w:val="24"/>
          <w:szCs w:val="24"/>
          <w:lang w:val="en-US"/>
        </w:rPr>
        <w:t>URL: </w:t>
      </w:r>
      <w:r w:rsidR="00103795" w:rsidRPr="00103795">
        <w:rPr>
          <w:rFonts w:ascii="Times New Roman" w:hAnsi="Times New Roman" w:cs="Times New Roman"/>
          <w:sz w:val="24"/>
          <w:szCs w:val="24"/>
        </w:rPr>
        <w:fldChar w:fldCharType="begin"/>
      </w:r>
      <w:r w:rsidR="00103795" w:rsidRPr="00103795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"https://datareportal.com/reports/?tag=Global+Overview" \t "_blank" </w:instrText>
      </w:r>
      <w:r w:rsidR="00103795" w:rsidRPr="00103795">
        <w:rPr>
          <w:rFonts w:ascii="Times New Roman" w:hAnsi="Times New Roman" w:cs="Times New Roman"/>
          <w:sz w:val="24"/>
          <w:szCs w:val="24"/>
        </w:rPr>
        <w:fldChar w:fldCharType="separate"/>
      </w:r>
      <w:r w:rsidR="00B37548" w:rsidRPr="0010379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https://datareportal.com/reports/?tag=Global+Overview</w:t>
      </w:r>
      <w:r w:rsidR="00103795" w:rsidRPr="0010379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bookmarkStart w:id="0" w:name="_GoBack"/>
      <w:bookmarkEnd w:id="0"/>
      <w:r w:rsidR="00B37548" w:rsidRPr="0010379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957F6" w:rsidRPr="00103795" w:rsidRDefault="00D957F6" w:rsidP="002955B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103795">
        <w:rPr>
          <w:rFonts w:ascii="Times New Roman" w:hAnsi="Times New Roman" w:cs="Times New Roman"/>
          <w:bCs/>
          <w:sz w:val="24"/>
          <w:szCs w:val="24"/>
          <w:lang w:val="uk-UA"/>
        </w:rPr>
        <w:t>Туль</w:t>
      </w:r>
      <w:proofErr w:type="spellEnd"/>
      <w:r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І. Трансформація світового ринку праці в умовах </w:t>
      </w:r>
      <w:proofErr w:type="spellStart"/>
      <w:r w:rsidRPr="00103795">
        <w:rPr>
          <w:rFonts w:ascii="Times New Roman" w:hAnsi="Times New Roman" w:cs="Times New Roman"/>
          <w:bCs/>
          <w:sz w:val="24"/>
          <w:szCs w:val="24"/>
          <w:lang w:val="uk-UA"/>
        </w:rPr>
        <w:t>діджиталізації</w:t>
      </w:r>
      <w:proofErr w:type="spellEnd"/>
      <w:r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: </w:t>
      </w:r>
      <w:proofErr w:type="spellStart"/>
      <w:r w:rsidRPr="00103795">
        <w:rPr>
          <w:rFonts w:ascii="Times New Roman" w:hAnsi="Times New Roman" w:cs="Times New Roman"/>
          <w:bCs/>
          <w:sz w:val="24"/>
          <w:szCs w:val="24"/>
          <w:lang w:val="uk-UA"/>
        </w:rPr>
        <w:t>дис</w:t>
      </w:r>
      <w:proofErr w:type="spellEnd"/>
      <w:r w:rsidR="00685D3D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F0B0C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… </w:t>
      </w:r>
      <w:proofErr w:type="spellStart"/>
      <w:r w:rsidR="00685D3D" w:rsidRPr="00103795">
        <w:rPr>
          <w:rFonts w:ascii="Times New Roman" w:hAnsi="Times New Roman" w:cs="Times New Roman"/>
          <w:bCs/>
          <w:sz w:val="24"/>
          <w:szCs w:val="24"/>
          <w:lang w:val="uk-UA"/>
        </w:rPr>
        <w:t>канд</w:t>
      </w:r>
      <w:proofErr w:type="spellEnd"/>
      <w:r w:rsidR="00685D3D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685D3D" w:rsidRPr="00103795">
        <w:rPr>
          <w:rFonts w:ascii="Times New Roman" w:hAnsi="Times New Roman" w:cs="Times New Roman"/>
          <w:bCs/>
          <w:sz w:val="24"/>
          <w:szCs w:val="24"/>
          <w:lang w:val="uk-UA"/>
        </w:rPr>
        <w:t>екон</w:t>
      </w:r>
      <w:proofErr w:type="spellEnd"/>
      <w:r w:rsidR="00685D3D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наук : 08.00.02 </w:t>
      </w:r>
      <w:r w:rsidR="006F0B0C" w:rsidRPr="00103795">
        <w:rPr>
          <w:rFonts w:ascii="Times New Roman" w:hAnsi="Times New Roman" w:cs="Times New Roman"/>
          <w:bCs/>
          <w:sz w:val="24"/>
          <w:szCs w:val="24"/>
          <w:lang w:val="uk-UA"/>
        </w:rPr>
        <w:t>/</w:t>
      </w:r>
      <w:r w:rsidR="00685D3D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F0B0C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Донецьк. </w:t>
      </w:r>
      <w:proofErr w:type="spellStart"/>
      <w:r w:rsidR="006F0B0C" w:rsidRPr="00103795">
        <w:rPr>
          <w:rFonts w:ascii="Times New Roman" w:hAnsi="Times New Roman" w:cs="Times New Roman"/>
          <w:bCs/>
          <w:sz w:val="24"/>
          <w:szCs w:val="24"/>
          <w:lang w:val="uk-UA"/>
        </w:rPr>
        <w:t>нац</w:t>
      </w:r>
      <w:proofErr w:type="spellEnd"/>
      <w:r w:rsidR="006F0B0C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ун-т ім. </w:t>
      </w:r>
      <w:proofErr w:type="spellStart"/>
      <w:r w:rsidR="006F0B0C" w:rsidRPr="00103795">
        <w:rPr>
          <w:rFonts w:ascii="Times New Roman" w:hAnsi="Times New Roman" w:cs="Times New Roman"/>
          <w:bCs/>
          <w:sz w:val="24"/>
          <w:szCs w:val="24"/>
          <w:lang w:val="uk-UA"/>
        </w:rPr>
        <w:t>В.Стуса</w:t>
      </w:r>
      <w:proofErr w:type="spellEnd"/>
      <w:r w:rsidR="006F0B0C" w:rsidRPr="001037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85D3D" w:rsidRPr="00103795">
        <w:rPr>
          <w:rFonts w:ascii="Times New Roman" w:hAnsi="Times New Roman" w:cs="Times New Roman"/>
          <w:bCs/>
          <w:sz w:val="24"/>
          <w:szCs w:val="24"/>
          <w:lang w:val="uk-UA"/>
        </w:rPr>
        <w:t>Вінниця, 2019</w:t>
      </w:r>
      <w:r w:rsidR="00F13BD2" w:rsidRPr="00103795">
        <w:rPr>
          <w:rFonts w:ascii="Times New Roman" w:hAnsi="Times New Roman" w:cs="Times New Roman"/>
          <w:bCs/>
          <w:sz w:val="24"/>
          <w:szCs w:val="24"/>
          <w:lang w:val="uk-UA"/>
        </w:rPr>
        <w:t>. 279 с.</w:t>
      </w:r>
    </w:p>
    <w:p w:rsidR="00EA74D1" w:rsidRPr="00103795" w:rsidRDefault="00685D3D" w:rsidP="002955B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Братко О. С., Мазур Н. С. Трансформація світового ринку праці в умовах розвитку цифрової економіки. </w:t>
      </w:r>
      <w:r w:rsidR="00086FC2" w:rsidRPr="00103795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Міжнародні відносини. Серія "Економічні науки". Спеціальний випуск</w:t>
      </w:r>
      <w:r w:rsidR="00086FC2" w:rsidRPr="0010379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086FC2" w:rsidRPr="00103795">
        <w:rPr>
          <w:rFonts w:ascii="Times New Roman" w:hAnsi="Times New Roman" w:cs="Times New Roman"/>
          <w:i/>
          <w:iCs/>
          <w:sz w:val="24"/>
          <w:szCs w:val="24"/>
          <w:lang w:val="uk-UA"/>
        </w:rPr>
        <w:t>«</w:t>
      </w:r>
      <w:proofErr w:type="spellStart"/>
      <w:r w:rsidR="00086FC2" w:rsidRPr="00103795">
        <w:rPr>
          <w:rFonts w:ascii="Times New Roman" w:hAnsi="Times New Roman" w:cs="Times New Roman"/>
          <w:i/>
          <w:iCs/>
          <w:sz w:val="24"/>
          <w:szCs w:val="24"/>
          <w:lang w:val="uk-UA"/>
        </w:rPr>
        <w:t>Діджиталізація</w:t>
      </w:r>
      <w:proofErr w:type="spellEnd"/>
      <w:r w:rsidR="00086FC2" w:rsidRPr="0010379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сучасної системи міжнародних економічних відносин»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зб</w:t>
      </w:r>
      <w:proofErr w:type="spellEnd"/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тез </w:t>
      </w:r>
      <w:proofErr w:type="spellStart"/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М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іжнар</w:t>
      </w:r>
      <w:proofErr w:type="spellEnd"/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наук</w:t>
      </w:r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-</w:t>
      </w:r>
      <w:proofErr w:type="spellStart"/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практ</w:t>
      </w:r>
      <w:proofErr w:type="spellEnd"/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конф</w:t>
      </w:r>
      <w:proofErr w:type="spellEnd"/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21 лист</w:t>
      </w:r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2019 р.</w:t>
      </w:r>
      <w:r w:rsidR="00C915D3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Київ 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: Київський національний університет імені Тараса Шевченка,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Інститут міжнародних відносин, Центр досконалості Жана Моне, 2019. № 20.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Т. 1-2.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С. 55-57. 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1" w:tgtFrame="_blank" w:history="1"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journals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iir</w:t>
        </w:r>
        <w:proofErr w:type="spellEnd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kiev</w:t>
        </w:r>
        <w:proofErr w:type="spellEnd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index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php</w:t>
        </w:r>
        <w:proofErr w:type="spellEnd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proofErr w:type="spellStart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ec</w:t>
        </w:r>
        <w:proofErr w:type="spellEnd"/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_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view</w:t>
        </w:r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/3767</w:t>
        </w:r>
      </w:hyperlink>
      <w:r w:rsidR="00086FC2" w:rsidRPr="0010379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 </w:t>
      </w:r>
    </w:p>
    <w:p w:rsidR="00F64692" w:rsidRPr="00103795" w:rsidRDefault="00F64692" w:rsidP="002955B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379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3795">
        <w:rPr>
          <w:rFonts w:ascii="Times New Roman" w:hAnsi="Times New Roman" w:cs="Times New Roman"/>
          <w:sz w:val="24"/>
          <w:szCs w:val="24"/>
        </w:rPr>
        <w:t xml:space="preserve"> буде з ринком </w:t>
      </w:r>
      <w:proofErr w:type="spellStart"/>
      <w:r w:rsidRPr="0010379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3F1F0E" w:rsidRPr="00103795">
        <w:rPr>
          <w:rFonts w:ascii="Times New Roman" w:hAnsi="Times New Roman" w:cs="Times New Roman"/>
          <w:sz w:val="24"/>
          <w:szCs w:val="24"/>
        </w:rPr>
        <w:t xml:space="preserve"> за 5 </w:t>
      </w:r>
      <w:proofErr w:type="spellStart"/>
      <w:r w:rsidR="003F1F0E" w:rsidRPr="0010379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="003F1F0E" w:rsidRPr="001037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F1F0E" w:rsidRPr="00103795">
        <w:rPr>
          <w:rFonts w:ascii="Times New Roman" w:hAnsi="Times New Roman" w:cs="Times New Roman"/>
          <w:sz w:val="24"/>
          <w:szCs w:val="24"/>
        </w:rPr>
        <w:t>глобальні</w:t>
      </w:r>
      <w:proofErr w:type="spellEnd"/>
      <w:r w:rsidR="003F1F0E" w:rsidRPr="0010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F0E" w:rsidRPr="00103795">
        <w:rPr>
          <w:rFonts w:ascii="Times New Roman" w:hAnsi="Times New Roman" w:cs="Times New Roman"/>
          <w:sz w:val="24"/>
          <w:szCs w:val="24"/>
        </w:rPr>
        <w:t>тренди</w:t>
      </w:r>
      <w:proofErr w:type="spellEnd"/>
      <w:r w:rsidR="003F1F0E" w:rsidRPr="00103795">
        <w:rPr>
          <w:rFonts w:ascii="Times New Roman" w:hAnsi="Times New Roman" w:cs="Times New Roman"/>
          <w:sz w:val="24"/>
          <w:szCs w:val="24"/>
        </w:rPr>
        <w:t>.</w:t>
      </w:r>
      <w:r w:rsidR="003F1F0E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2023. </w:t>
      </w:r>
      <w:r w:rsidRPr="00103795">
        <w:rPr>
          <w:rFonts w:ascii="Times New Roman" w:hAnsi="Times New Roman" w:cs="Times New Roman"/>
          <w:i/>
          <w:iCs/>
          <w:sz w:val="24"/>
          <w:szCs w:val="24"/>
        </w:rPr>
        <w:t>Work.ua</w:t>
      </w:r>
      <w:proofErr w:type="gramStart"/>
      <w:r w:rsidR="00086FC2" w:rsidRPr="0010379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  <w:proofErr w:type="gramEnd"/>
      <w:r w:rsidR="00086FC2" w:rsidRPr="0010379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онлайн-портал з пошуку роботи та надання вакансій.</w:t>
      </w:r>
      <w:r w:rsidRPr="00103795">
        <w:rPr>
          <w:rFonts w:ascii="Times New Roman" w:hAnsi="Times New Roman" w:cs="Times New Roman"/>
          <w:iCs/>
          <w:sz w:val="24"/>
          <w:szCs w:val="24"/>
        </w:rPr>
        <w:t>.</w:t>
      </w:r>
      <w:r w:rsidRPr="00103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3795">
        <w:rPr>
          <w:rFonts w:ascii="Times New Roman" w:hAnsi="Times New Roman" w:cs="Times New Roman"/>
          <w:sz w:val="24"/>
          <w:szCs w:val="24"/>
        </w:rPr>
        <w:t>URL: </w:t>
      </w:r>
      <w:hyperlink r:id="rId12" w:tgtFrame="_blank" w:history="1"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https://www.work.ua/articles/analytics/3108/</w:t>
        </w:r>
      </w:hyperlink>
      <w:r w:rsidR="0010379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 </w:t>
      </w:r>
    </w:p>
    <w:p w:rsidR="003A3D78" w:rsidRPr="00103795" w:rsidRDefault="00692B40" w:rsidP="002955B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379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C21FE" w:rsidRPr="00103795">
        <w:rPr>
          <w:rFonts w:ascii="Times New Roman" w:hAnsi="Times New Roman" w:cs="Times New Roman"/>
          <w:sz w:val="24"/>
          <w:szCs w:val="24"/>
          <w:lang w:val="en-US"/>
        </w:rPr>
        <w:t>üller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C21FE" w:rsidRPr="001037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 xml:space="preserve"> World Ro</w:t>
      </w:r>
      <w:r w:rsidR="00C915D3" w:rsidRPr="00103795">
        <w:rPr>
          <w:rFonts w:ascii="Times New Roman" w:hAnsi="Times New Roman" w:cs="Times New Roman"/>
          <w:sz w:val="24"/>
          <w:szCs w:val="24"/>
          <w:lang w:val="en-US"/>
        </w:rPr>
        <w:t>botics 2023 – Industrial Robots</w:t>
      </w:r>
      <w:r w:rsidR="00C915D3" w:rsidRPr="001037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1FE" w:rsidRPr="001037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Federation of Robotics </w:t>
      </w:r>
      <w:r w:rsidR="001C21FE" w:rsidRPr="00103795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103795">
        <w:rPr>
          <w:rFonts w:ascii="Times New Roman" w:hAnsi="Times New Roman" w:cs="Times New Roman"/>
          <w:i/>
          <w:sz w:val="24"/>
          <w:szCs w:val="24"/>
          <w:lang w:val="en-US"/>
        </w:rPr>
        <w:t>IFR</w:t>
      </w:r>
      <w:proofErr w:type="gramStart"/>
      <w:r w:rsidR="001C21FE" w:rsidRPr="00103795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1C21FE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="001C21FE" w:rsidRPr="001037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1FE" w:rsidRPr="00103795">
        <w:rPr>
          <w:rFonts w:ascii="Times New Roman" w:hAnsi="Times New Roman" w:cs="Times New Roman"/>
          <w:sz w:val="24"/>
          <w:szCs w:val="24"/>
          <w:lang w:val="en-US"/>
        </w:rPr>
        <w:t>official site</w:t>
      </w:r>
      <w:r w:rsidR="001C21FE" w:rsidRPr="001037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3795">
        <w:rPr>
          <w:rFonts w:ascii="Times New Roman" w:hAnsi="Times New Roman" w:cs="Times New Roman"/>
          <w:sz w:val="24"/>
          <w:szCs w:val="24"/>
          <w:lang w:val="en-US"/>
        </w:rPr>
        <w:t xml:space="preserve"> 2023. URL: </w:t>
      </w:r>
      <w:hyperlink r:id="rId13" w:tgtFrame="_blank" w:history="1">
        <w:r w:rsidRPr="001037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https://ifr.org/free-downloads/</w:t>
        </w:r>
      </w:hyperlink>
      <w:r w:rsidR="0010379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  </w:t>
      </w:r>
    </w:p>
    <w:sectPr w:rsidR="003A3D78" w:rsidRPr="00103795" w:rsidSect="00B153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607"/>
    <w:multiLevelType w:val="hybridMultilevel"/>
    <w:tmpl w:val="04DE07C0"/>
    <w:lvl w:ilvl="0" w:tplc="8A24E956">
      <w:start w:val="1"/>
      <w:numFmt w:val="decimal"/>
      <w:lvlText w:val="%1."/>
      <w:lvlJc w:val="left"/>
      <w:pPr>
        <w:ind w:left="1329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C60C76"/>
    <w:multiLevelType w:val="hybridMultilevel"/>
    <w:tmpl w:val="7C900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1E5CFF"/>
    <w:multiLevelType w:val="hybridMultilevel"/>
    <w:tmpl w:val="C0643FFE"/>
    <w:lvl w:ilvl="0" w:tplc="8A24E956">
      <w:start w:val="1"/>
      <w:numFmt w:val="decimal"/>
      <w:lvlText w:val="%1."/>
      <w:lvlJc w:val="left"/>
      <w:pPr>
        <w:ind w:left="-218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75" w:hanging="360"/>
      </w:pPr>
    </w:lvl>
    <w:lvl w:ilvl="2" w:tplc="0419001B" w:tentative="1">
      <w:start w:val="1"/>
      <w:numFmt w:val="lowerRoman"/>
      <w:lvlText w:val="%3."/>
      <w:lvlJc w:val="right"/>
      <w:pPr>
        <w:ind w:left="-1355" w:hanging="180"/>
      </w:pPr>
    </w:lvl>
    <w:lvl w:ilvl="3" w:tplc="0419000F" w:tentative="1">
      <w:start w:val="1"/>
      <w:numFmt w:val="decimal"/>
      <w:lvlText w:val="%4."/>
      <w:lvlJc w:val="left"/>
      <w:pPr>
        <w:ind w:left="-635" w:hanging="360"/>
      </w:pPr>
    </w:lvl>
    <w:lvl w:ilvl="4" w:tplc="04190019" w:tentative="1">
      <w:start w:val="1"/>
      <w:numFmt w:val="lowerLetter"/>
      <w:lvlText w:val="%5."/>
      <w:lvlJc w:val="left"/>
      <w:pPr>
        <w:ind w:left="85" w:hanging="360"/>
      </w:pPr>
    </w:lvl>
    <w:lvl w:ilvl="5" w:tplc="0419001B" w:tentative="1">
      <w:start w:val="1"/>
      <w:numFmt w:val="lowerRoman"/>
      <w:lvlText w:val="%6."/>
      <w:lvlJc w:val="right"/>
      <w:pPr>
        <w:ind w:left="805" w:hanging="180"/>
      </w:pPr>
    </w:lvl>
    <w:lvl w:ilvl="6" w:tplc="0419000F" w:tentative="1">
      <w:start w:val="1"/>
      <w:numFmt w:val="decimal"/>
      <w:lvlText w:val="%7."/>
      <w:lvlJc w:val="left"/>
      <w:pPr>
        <w:ind w:left="1525" w:hanging="360"/>
      </w:pPr>
    </w:lvl>
    <w:lvl w:ilvl="7" w:tplc="04190019" w:tentative="1">
      <w:start w:val="1"/>
      <w:numFmt w:val="lowerLetter"/>
      <w:lvlText w:val="%8."/>
      <w:lvlJc w:val="left"/>
      <w:pPr>
        <w:ind w:left="2245" w:hanging="360"/>
      </w:pPr>
    </w:lvl>
    <w:lvl w:ilvl="8" w:tplc="0419001B" w:tentative="1">
      <w:start w:val="1"/>
      <w:numFmt w:val="lowerRoman"/>
      <w:lvlText w:val="%9."/>
      <w:lvlJc w:val="right"/>
      <w:pPr>
        <w:ind w:left="2965" w:hanging="180"/>
      </w:pPr>
    </w:lvl>
  </w:abstractNum>
  <w:abstractNum w:abstractNumId="3">
    <w:nsid w:val="65704AAC"/>
    <w:multiLevelType w:val="hybridMultilevel"/>
    <w:tmpl w:val="C114D7E4"/>
    <w:lvl w:ilvl="0" w:tplc="8A24E956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7B"/>
    <w:rsid w:val="00057F95"/>
    <w:rsid w:val="00086FC2"/>
    <w:rsid w:val="000E0C1E"/>
    <w:rsid w:val="00103795"/>
    <w:rsid w:val="001A6069"/>
    <w:rsid w:val="001C0101"/>
    <w:rsid w:val="001C21FE"/>
    <w:rsid w:val="00231F22"/>
    <w:rsid w:val="00237FBD"/>
    <w:rsid w:val="00254720"/>
    <w:rsid w:val="0026081F"/>
    <w:rsid w:val="002955BA"/>
    <w:rsid w:val="00390AC3"/>
    <w:rsid w:val="003A3D78"/>
    <w:rsid w:val="003B29FE"/>
    <w:rsid w:val="003C284D"/>
    <w:rsid w:val="003E3DC1"/>
    <w:rsid w:val="003F1F0E"/>
    <w:rsid w:val="0045150E"/>
    <w:rsid w:val="00487F42"/>
    <w:rsid w:val="00545AC3"/>
    <w:rsid w:val="00557A33"/>
    <w:rsid w:val="00667C58"/>
    <w:rsid w:val="00685D3D"/>
    <w:rsid w:val="00692B40"/>
    <w:rsid w:val="006F0B0C"/>
    <w:rsid w:val="00796EF5"/>
    <w:rsid w:val="007D0D66"/>
    <w:rsid w:val="007D6E5F"/>
    <w:rsid w:val="00806C71"/>
    <w:rsid w:val="00846B54"/>
    <w:rsid w:val="009D4541"/>
    <w:rsid w:val="009D78B8"/>
    <w:rsid w:val="00A24AC1"/>
    <w:rsid w:val="00AC2DFD"/>
    <w:rsid w:val="00B1531F"/>
    <w:rsid w:val="00B37548"/>
    <w:rsid w:val="00B62C0F"/>
    <w:rsid w:val="00B827DF"/>
    <w:rsid w:val="00C41434"/>
    <w:rsid w:val="00C714F3"/>
    <w:rsid w:val="00C84C86"/>
    <w:rsid w:val="00C915D3"/>
    <w:rsid w:val="00CB40B1"/>
    <w:rsid w:val="00CD4404"/>
    <w:rsid w:val="00D33137"/>
    <w:rsid w:val="00D60265"/>
    <w:rsid w:val="00D957F6"/>
    <w:rsid w:val="00DB236F"/>
    <w:rsid w:val="00E353E2"/>
    <w:rsid w:val="00E60C8F"/>
    <w:rsid w:val="00E6391D"/>
    <w:rsid w:val="00EA74D1"/>
    <w:rsid w:val="00F13BD2"/>
    <w:rsid w:val="00F64692"/>
    <w:rsid w:val="00F64CEE"/>
    <w:rsid w:val="00FC7E7B"/>
    <w:rsid w:val="00FE1725"/>
    <w:rsid w:val="00FF5B80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а"/>
    <w:basedOn w:val="a"/>
    <w:link w:val="a4"/>
    <w:qFormat/>
    <w:rsid w:val="00AC2DFD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База Знак"/>
    <w:basedOn w:val="a0"/>
    <w:link w:val="a3"/>
    <w:rsid w:val="00AC2DFD"/>
    <w:rPr>
      <w:rFonts w:ascii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B375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714F3"/>
    <w:pPr>
      <w:ind w:left="720"/>
      <w:contextualSpacing/>
    </w:pPr>
  </w:style>
  <w:style w:type="table" w:styleId="a7">
    <w:name w:val="Table Grid"/>
    <w:basedOn w:val="a1"/>
    <w:uiPriority w:val="39"/>
    <w:rsid w:val="0066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а"/>
    <w:basedOn w:val="a"/>
    <w:link w:val="a4"/>
    <w:qFormat/>
    <w:rsid w:val="00AC2DFD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База Знак"/>
    <w:basedOn w:val="a0"/>
    <w:link w:val="a3"/>
    <w:rsid w:val="00AC2DFD"/>
    <w:rPr>
      <w:rFonts w:ascii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B375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714F3"/>
    <w:pPr>
      <w:ind w:left="720"/>
      <w:contextualSpacing/>
    </w:pPr>
  </w:style>
  <w:style w:type="table" w:styleId="a7">
    <w:name w:val="Table Grid"/>
    <w:basedOn w:val="a1"/>
    <w:uiPriority w:val="39"/>
    <w:rsid w:val="0066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ifr.org/free-downloads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www.work.ua/articles/analytics/31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urnals.iir.kiev.ua/index.php/ec_n/article/view/37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978-3-030-78237-5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47179019977874"/>
          <c:y val="3.0764071157771945E-2"/>
          <c:w val="0.89618376276130285"/>
          <c:h val="0.782013706620005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Лист1!$A$5:$A$10</c:f>
              <c:numCache>
                <c:formatCode>mmm\-yy</c:formatCode>
                <c:ptCount val="6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4.0209999999999999</c:v>
                </c:pt>
                <c:pt idx="1">
                  <c:v>4.3879999999999999</c:v>
                </c:pt>
                <c:pt idx="2">
                  <c:v>4.54</c:v>
                </c:pt>
                <c:pt idx="3">
                  <c:v>4.66</c:v>
                </c:pt>
                <c:pt idx="4">
                  <c:v>4.95</c:v>
                </c:pt>
                <c:pt idx="5">
                  <c:v>5.16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B9-2F46-B0C7-B6EC62429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080000"/>
        <c:axId val="259747776"/>
      </c:barChart>
      <c:dateAx>
        <c:axId val="262080000"/>
        <c:scaling>
          <c:orientation val="minMax"/>
          <c:max val="44927"/>
          <c:min val="43101"/>
        </c:scaling>
        <c:delete val="0"/>
        <c:axPos val="b"/>
        <c:numFmt formatCode="mm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9747776"/>
        <c:crosses val="autoZero"/>
        <c:auto val="1"/>
        <c:lblOffset val="100"/>
        <c:baseTimeUnit val="years"/>
      </c:dateAx>
      <c:valAx>
        <c:axId val="259747776"/>
        <c:scaling>
          <c:orientation val="minMax"/>
          <c:min val="3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08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333333333333333E-2"/>
          <c:y val="0"/>
          <c:w val="0.93888888888888888"/>
          <c:h val="0.88567828104055801"/>
        </c:manualLayout>
      </c:layout>
      <c:lineChart>
        <c:grouping val="standard"/>
        <c:varyColors val="0"/>
        <c:ser>
          <c:idx val="0"/>
          <c:order val="0"/>
          <c:spPr>
            <a:ln w="25400" cap="rnd">
              <a:solidFill>
                <a:schemeClr val="tx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solidFill>
                <a:srgbClr val="00206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Лист1!$A$5:$A$10</c:f>
              <c:numCache>
                <c:formatCode>mmm\-yy</c:formatCode>
                <c:ptCount val="6"/>
                <c:pt idx="0">
                  <c:v>43101</c:v>
                </c:pt>
                <c:pt idx="1">
                  <c:v>43466</c:v>
                </c:pt>
                <c:pt idx="2">
                  <c:v>43831</c:v>
                </c:pt>
                <c:pt idx="3">
                  <c:v>44197</c:v>
                </c:pt>
                <c:pt idx="4">
                  <c:v>44562</c:v>
                </c:pt>
                <c:pt idx="5">
                  <c:v>44927</c:v>
                </c:pt>
              </c:numCache>
            </c:numRef>
          </c:cat>
          <c:val>
            <c:numRef>
              <c:f>Лист1!$D$5:$D$10</c:f>
              <c:numCache>
                <c:formatCode>0.0%</c:formatCode>
                <c:ptCount val="6"/>
                <c:pt idx="0">
                  <c:v>0.53</c:v>
                </c:pt>
                <c:pt idx="1">
                  <c:v>0.56999999999999995</c:v>
                </c:pt>
                <c:pt idx="2">
                  <c:v>0.59</c:v>
                </c:pt>
                <c:pt idx="3">
                  <c:v>0.59499999999999997</c:v>
                </c:pt>
                <c:pt idx="4">
                  <c:v>0.625</c:v>
                </c:pt>
                <c:pt idx="5">
                  <c:v>0.64400000000000002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5C2-BD42-80E4-C3BAF33C905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dropLines>
        <c:marker val="1"/>
        <c:smooth val="0"/>
        <c:axId val="262078464"/>
        <c:axId val="261745472"/>
      </c:lineChart>
      <c:dateAx>
        <c:axId val="262078464"/>
        <c:scaling>
          <c:orientation val="minMax"/>
        </c:scaling>
        <c:delete val="0"/>
        <c:axPos val="b"/>
        <c:numFmt formatCode="mm/yyyy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spc="3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1745472"/>
        <c:crosses val="autoZero"/>
        <c:auto val="1"/>
        <c:lblOffset val="100"/>
        <c:baseTimeUnit val="years"/>
      </c:dateAx>
      <c:valAx>
        <c:axId val="261745472"/>
        <c:scaling>
          <c:orientation val="minMax"/>
          <c:min val="0.52"/>
        </c:scaling>
        <c:delete val="1"/>
        <c:axPos val="l"/>
        <c:numFmt formatCode="0.0%" sourceLinked="1"/>
        <c:majorTickMark val="none"/>
        <c:minorTickMark val="none"/>
        <c:tickLblPos val="nextTo"/>
        <c:crossAx val="26207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Лист1!$A$1:$A$11</c:f>
              <c:strCache>
                <c:ptCount val="11"/>
                <c:pt idx="0">
                  <c:v>2012 р.</c:v>
                </c:pt>
                <c:pt idx="1">
                  <c:v>2013 р.</c:v>
                </c:pt>
                <c:pt idx="2">
                  <c:v>2014 р.</c:v>
                </c:pt>
                <c:pt idx="3">
                  <c:v>2015 р.</c:v>
                </c:pt>
                <c:pt idx="4">
                  <c:v>2016 р.</c:v>
                </c:pt>
                <c:pt idx="5">
                  <c:v>2017 р.</c:v>
                </c:pt>
                <c:pt idx="6">
                  <c:v>2018 р.</c:v>
                </c:pt>
                <c:pt idx="7">
                  <c:v>2019 р.</c:v>
                </c:pt>
                <c:pt idx="8">
                  <c:v>2020 р.</c:v>
                </c:pt>
                <c:pt idx="9">
                  <c:v>2021 р.</c:v>
                </c:pt>
                <c:pt idx="10">
                  <c:v>2022 р.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154</c:v>
                </c:pt>
                <c:pt idx="1">
                  <c:v>172</c:v>
                </c:pt>
                <c:pt idx="2">
                  <c:v>213</c:v>
                </c:pt>
                <c:pt idx="3">
                  <c:v>249</c:v>
                </c:pt>
                <c:pt idx="4">
                  <c:v>297</c:v>
                </c:pt>
                <c:pt idx="5">
                  <c:v>393</c:v>
                </c:pt>
                <c:pt idx="6">
                  <c:v>415</c:v>
                </c:pt>
                <c:pt idx="7">
                  <c:v>376</c:v>
                </c:pt>
                <c:pt idx="8">
                  <c:v>379</c:v>
                </c:pt>
                <c:pt idx="9">
                  <c:v>519</c:v>
                </c:pt>
                <c:pt idx="10">
                  <c:v>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B1-0A44-A7FC-804803D6D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080512"/>
        <c:axId val="261746624"/>
      </c:barChart>
      <c:catAx>
        <c:axId val="262080512"/>
        <c:scaling>
          <c:orientation val="minMax"/>
        </c:scaling>
        <c:delete val="0"/>
        <c:axPos val="b"/>
        <c:numFmt formatCode="\ 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1746624"/>
        <c:crosses val="autoZero"/>
        <c:auto val="1"/>
        <c:lblAlgn val="ctr"/>
        <c:lblOffset val="100"/>
        <c:noMultiLvlLbl val="0"/>
      </c:catAx>
      <c:valAx>
        <c:axId val="261746624"/>
        <c:scaling>
          <c:orientation val="minMax"/>
          <c:min val="1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08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8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spc="3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lumMod val="85000"/>
          </a:schemeClr>
        </a:solidFill>
        <a:round/>
      </a:ln>
    </cs:spPr>
    <cs:defRPr sz="1000" kern="1200"/>
  </cs:chartArea>
  <cs:dataLabel>
    <cs:lnRef idx="0"/>
    <cs:fillRef idx="0">
      <cs:styleClr val="0"/>
    </cs:fillRef>
    <cs:effectRef idx="0"/>
    <cs:fontRef idx="minor">
      <a:schemeClr val="lt1"/>
    </cs:fontRef>
    <cs:spPr>
      <a:solidFill>
        <a:schemeClr val="phClr"/>
      </a:solidFill>
    </cs:spPr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25400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9DC0-23F9-4CBB-B997-D70AECC4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</cp:lastModifiedBy>
  <cp:revision>3</cp:revision>
  <dcterms:created xsi:type="dcterms:W3CDTF">2023-10-22T21:30:00Z</dcterms:created>
  <dcterms:modified xsi:type="dcterms:W3CDTF">2023-10-22T21:36:00Z</dcterms:modified>
</cp:coreProperties>
</file>