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757F" w:rsidRPr="00E35F08" w:rsidRDefault="00BD757F" w:rsidP="00C555A4">
      <w:pPr>
        <w:spacing w:after="0" w:line="360" w:lineRule="auto"/>
        <w:ind w:right="-234"/>
        <w:jc w:val="both"/>
        <w:rPr>
          <w:rFonts w:ascii="Times New Roman" w:hAnsi="Times New Roman" w:cs="Times New Roman"/>
          <w:b/>
          <w:color w:val="000000" w:themeColor="text1"/>
          <w:sz w:val="28"/>
          <w:szCs w:val="28"/>
          <w:lang w:val="uk-UA"/>
        </w:rPr>
      </w:pPr>
    </w:p>
    <w:p w:rsidR="00B973B9" w:rsidRPr="00E35F08" w:rsidRDefault="00B973B9" w:rsidP="00C555A4">
      <w:pPr>
        <w:spacing w:after="0" w:line="360" w:lineRule="auto"/>
        <w:ind w:right="-234"/>
        <w:jc w:val="both"/>
        <w:rPr>
          <w:rFonts w:ascii="Times New Roman" w:hAnsi="Times New Roman" w:cs="Times New Roman"/>
          <w:b/>
          <w:color w:val="000000" w:themeColor="text1"/>
          <w:sz w:val="28"/>
          <w:szCs w:val="28"/>
          <w:lang w:val="uk-UA"/>
        </w:rPr>
      </w:pPr>
      <w:proofErr w:type="spellStart"/>
      <w:r w:rsidRPr="00E35F08">
        <w:rPr>
          <w:rFonts w:ascii="Times New Roman" w:hAnsi="Times New Roman" w:cs="Times New Roman"/>
          <w:b/>
          <w:color w:val="000000" w:themeColor="text1"/>
          <w:sz w:val="28"/>
          <w:szCs w:val="28"/>
          <w:lang w:val="uk-UA"/>
        </w:rPr>
        <w:t>Фурманенко</w:t>
      </w:r>
      <w:proofErr w:type="spellEnd"/>
      <w:r w:rsidRPr="00E35F08">
        <w:rPr>
          <w:rFonts w:ascii="Times New Roman" w:hAnsi="Times New Roman" w:cs="Times New Roman"/>
          <w:b/>
          <w:color w:val="000000" w:themeColor="text1"/>
          <w:sz w:val="28"/>
          <w:szCs w:val="28"/>
          <w:lang w:val="uk-UA"/>
        </w:rPr>
        <w:t xml:space="preserve"> Ігор Русланович</w:t>
      </w:r>
    </w:p>
    <w:p w:rsidR="00B973B9" w:rsidRPr="00E35F08" w:rsidRDefault="00B973B9" w:rsidP="00C555A4">
      <w:pPr>
        <w:spacing w:after="0" w:line="360" w:lineRule="auto"/>
        <w:ind w:right="-234"/>
        <w:jc w:val="both"/>
        <w:rPr>
          <w:rFonts w:ascii="Times New Roman" w:hAnsi="Times New Roman" w:cs="Times New Roman"/>
          <w:bCs/>
          <w:color w:val="000000" w:themeColor="text1"/>
          <w:sz w:val="28"/>
          <w:szCs w:val="28"/>
          <w:lang w:val="uk-UA"/>
        </w:rPr>
      </w:pPr>
      <w:r w:rsidRPr="00E35F08">
        <w:rPr>
          <w:rFonts w:ascii="Times New Roman" w:hAnsi="Times New Roman" w:cs="Times New Roman"/>
          <w:bCs/>
          <w:color w:val="000000" w:themeColor="text1"/>
          <w:sz w:val="28"/>
          <w:szCs w:val="28"/>
          <w:lang w:val="uk-UA"/>
        </w:rPr>
        <w:t>аспірант інституту міжнародних відносин</w:t>
      </w:r>
    </w:p>
    <w:p w:rsidR="00B973B9" w:rsidRPr="00E35F08" w:rsidRDefault="00B973B9" w:rsidP="00C555A4">
      <w:pPr>
        <w:spacing w:after="0" w:line="360" w:lineRule="auto"/>
        <w:ind w:right="-234"/>
        <w:jc w:val="both"/>
        <w:rPr>
          <w:rFonts w:ascii="Times New Roman" w:hAnsi="Times New Roman" w:cs="Times New Roman"/>
          <w:bCs/>
          <w:color w:val="000000" w:themeColor="text1"/>
          <w:sz w:val="28"/>
          <w:szCs w:val="28"/>
          <w:lang w:val="uk-UA"/>
        </w:rPr>
      </w:pPr>
      <w:r w:rsidRPr="00E35F08">
        <w:rPr>
          <w:rFonts w:ascii="Times New Roman" w:hAnsi="Times New Roman" w:cs="Times New Roman"/>
          <w:bCs/>
          <w:color w:val="000000" w:themeColor="text1"/>
          <w:sz w:val="28"/>
          <w:szCs w:val="28"/>
          <w:lang w:val="uk-UA"/>
        </w:rPr>
        <w:t xml:space="preserve">Київський національний університет </w:t>
      </w:r>
    </w:p>
    <w:p w:rsidR="00B973B9" w:rsidRPr="00E35F08" w:rsidRDefault="00B973B9" w:rsidP="00C555A4">
      <w:pPr>
        <w:spacing w:after="0" w:line="360" w:lineRule="auto"/>
        <w:ind w:right="-234"/>
        <w:jc w:val="both"/>
        <w:rPr>
          <w:rFonts w:ascii="Times New Roman" w:hAnsi="Times New Roman" w:cs="Times New Roman"/>
          <w:bCs/>
          <w:color w:val="000000" w:themeColor="text1"/>
          <w:sz w:val="28"/>
          <w:szCs w:val="28"/>
          <w:lang w:val="uk-UA"/>
        </w:rPr>
      </w:pPr>
      <w:r w:rsidRPr="00E35F08">
        <w:rPr>
          <w:rFonts w:ascii="Times New Roman" w:hAnsi="Times New Roman" w:cs="Times New Roman"/>
          <w:bCs/>
          <w:color w:val="000000" w:themeColor="text1"/>
          <w:sz w:val="28"/>
          <w:szCs w:val="28"/>
          <w:lang w:val="uk-UA"/>
        </w:rPr>
        <w:t>імені Тараса Шевченка</w:t>
      </w:r>
    </w:p>
    <w:p w:rsidR="00B973B9" w:rsidRPr="00E35F08" w:rsidRDefault="00B973B9" w:rsidP="00C555A4">
      <w:pPr>
        <w:spacing w:after="0" w:line="360" w:lineRule="auto"/>
        <w:ind w:right="-234"/>
        <w:jc w:val="both"/>
        <w:rPr>
          <w:rFonts w:ascii="Times New Roman" w:hAnsi="Times New Roman" w:cs="Times New Roman"/>
          <w:bCs/>
          <w:color w:val="000000" w:themeColor="text1"/>
          <w:sz w:val="28"/>
          <w:szCs w:val="28"/>
          <w:lang w:val="uk-UA"/>
        </w:rPr>
      </w:pPr>
      <w:r w:rsidRPr="00E35F08">
        <w:rPr>
          <w:rFonts w:ascii="Times New Roman" w:hAnsi="Times New Roman" w:cs="Times New Roman"/>
          <w:bCs/>
          <w:color w:val="000000" w:themeColor="text1"/>
          <w:sz w:val="28"/>
          <w:szCs w:val="28"/>
          <w:lang w:val="uk-UA"/>
        </w:rPr>
        <w:t>ORCID: https://orcid.org/0009-0000-8354-4705</w:t>
      </w:r>
    </w:p>
    <w:p w:rsidR="00B973B9" w:rsidRPr="00E35F08" w:rsidRDefault="00B973B9" w:rsidP="00C555A4">
      <w:pPr>
        <w:spacing w:after="0" w:line="360" w:lineRule="auto"/>
        <w:ind w:right="-234"/>
        <w:rPr>
          <w:rFonts w:ascii="Times New Roman" w:hAnsi="Times New Roman" w:cs="Times New Roman"/>
          <w:color w:val="000000" w:themeColor="text1"/>
          <w:sz w:val="28"/>
          <w:szCs w:val="28"/>
          <w:lang w:val="uk-UA"/>
        </w:rPr>
      </w:pPr>
    </w:p>
    <w:p w:rsidR="00BD757F" w:rsidRPr="00E35F08" w:rsidRDefault="00BD757F" w:rsidP="00C555A4">
      <w:pPr>
        <w:spacing w:after="0" w:line="360" w:lineRule="auto"/>
        <w:ind w:right="-234"/>
        <w:rPr>
          <w:rFonts w:ascii="Times New Roman" w:hAnsi="Times New Roman" w:cs="Times New Roman"/>
          <w:color w:val="000000" w:themeColor="text1"/>
          <w:sz w:val="28"/>
          <w:szCs w:val="28"/>
          <w:lang w:val="uk-UA"/>
        </w:rPr>
      </w:pPr>
    </w:p>
    <w:p w:rsidR="00183253" w:rsidRPr="00E35F08" w:rsidRDefault="00F30C57" w:rsidP="00C555A4">
      <w:pPr>
        <w:spacing w:after="0" w:line="360" w:lineRule="auto"/>
        <w:ind w:right="-234" w:firstLine="426"/>
        <w:rPr>
          <w:rFonts w:ascii="Times New Roman" w:hAnsi="Times New Roman" w:cs="Times New Roman"/>
          <w:b/>
          <w:bCs/>
          <w:color w:val="000000" w:themeColor="text1"/>
          <w:sz w:val="28"/>
          <w:szCs w:val="28"/>
          <w:lang w:val="uk-UA"/>
        </w:rPr>
      </w:pPr>
      <w:r w:rsidRPr="00E35F08">
        <w:rPr>
          <w:rFonts w:ascii="Times New Roman" w:hAnsi="Times New Roman" w:cs="Times New Roman"/>
          <w:b/>
          <w:bCs/>
          <w:color w:val="000000" w:themeColor="text1"/>
          <w:sz w:val="28"/>
          <w:szCs w:val="28"/>
          <w:lang w:val="uk-UA"/>
        </w:rPr>
        <w:t xml:space="preserve">Тенденції розвитку міжнародних ринків освітніх послуг. </w:t>
      </w:r>
      <w:proofErr w:type="spellStart"/>
      <w:r w:rsidRPr="00E35F08">
        <w:rPr>
          <w:rFonts w:ascii="Times New Roman" w:hAnsi="Times New Roman" w:cs="Times New Roman"/>
          <w:b/>
          <w:bCs/>
          <w:color w:val="000000" w:themeColor="text1"/>
          <w:sz w:val="28"/>
          <w:szCs w:val="28"/>
          <w:lang w:val="uk-UA"/>
        </w:rPr>
        <w:t>Діджиталізація</w:t>
      </w:r>
      <w:proofErr w:type="spellEnd"/>
    </w:p>
    <w:p w:rsidR="00F30C57" w:rsidRPr="00E35F08" w:rsidRDefault="00F30C57" w:rsidP="00C555A4">
      <w:pPr>
        <w:spacing w:after="0" w:line="360" w:lineRule="auto"/>
        <w:ind w:right="-234"/>
        <w:jc w:val="center"/>
        <w:rPr>
          <w:rFonts w:ascii="Times New Roman" w:hAnsi="Times New Roman" w:cs="Times New Roman"/>
          <w:color w:val="000000" w:themeColor="text1"/>
          <w:sz w:val="28"/>
          <w:szCs w:val="28"/>
          <w:lang w:val="uk-UA"/>
        </w:rPr>
      </w:pPr>
    </w:p>
    <w:p w:rsidR="00C555A4" w:rsidRPr="00E35F08" w:rsidRDefault="00C555A4" w:rsidP="00C555A4">
      <w:pPr>
        <w:spacing w:after="0" w:line="360" w:lineRule="auto"/>
        <w:ind w:right="-234"/>
        <w:jc w:val="both"/>
        <w:rPr>
          <w:rFonts w:ascii="Times New Roman" w:hAnsi="Times New Roman" w:cs="Times New Roman"/>
          <w:color w:val="000000" w:themeColor="text1"/>
          <w:sz w:val="28"/>
          <w:szCs w:val="28"/>
          <w:lang w:val="uk-UA"/>
        </w:rPr>
      </w:pPr>
      <w:r w:rsidRPr="00E35F08">
        <w:rPr>
          <w:rFonts w:ascii="Times New Roman" w:hAnsi="Times New Roman" w:cs="Times New Roman"/>
          <w:color w:val="000000" w:themeColor="text1"/>
          <w:sz w:val="28"/>
          <w:szCs w:val="28"/>
          <w:lang w:val="uk-UA"/>
        </w:rPr>
        <w:tab/>
        <w:t xml:space="preserve">Освітні послуги характеризуються високою затребуваністю у всіх сферах економіки як України, так і зарубіжних країн, що становить їх постійну актуальність та постійних розвиток. Систему установ, </w:t>
      </w:r>
      <w:proofErr w:type="spellStart"/>
      <w:r w:rsidRPr="00E35F08">
        <w:rPr>
          <w:rFonts w:ascii="Times New Roman" w:hAnsi="Times New Roman" w:cs="Times New Roman"/>
          <w:color w:val="000000" w:themeColor="text1"/>
          <w:sz w:val="28"/>
          <w:szCs w:val="28"/>
          <w:lang w:val="uk-UA"/>
        </w:rPr>
        <w:t>підприєсмтв</w:t>
      </w:r>
      <w:proofErr w:type="spellEnd"/>
      <w:r w:rsidRPr="00E35F08">
        <w:rPr>
          <w:rFonts w:ascii="Times New Roman" w:hAnsi="Times New Roman" w:cs="Times New Roman"/>
          <w:color w:val="000000" w:themeColor="text1"/>
          <w:sz w:val="28"/>
          <w:szCs w:val="28"/>
          <w:lang w:val="uk-UA"/>
        </w:rPr>
        <w:t xml:space="preserve"> та організації, які у світі надають освітні послуги складають</w:t>
      </w:r>
      <w:r w:rsidRPr="00E35F08">
        <w:rPr>
          <w:rFonts w:ascii="Times New Roman" w:hAnsi="Times New Roman" w:cs="Times New Roman"/>
          <w:color w:val="000000" w:themeColor="text1"/>
          <w:sz w:val="28"/>
          <w:szCs w:val="28"/>
          <w:lang w:val="uk-UA"/>
        </w:rPr>
        <w:t xml:space="preserve"> традиційні загальноосвітні школи, коледжі та університети, </w:t>
      </w:r>
      <w:r w:rsidRPr="00E35F08">
        <w:rPr>
          <w:rFonts w:ascii="Times New Roman" w:hAnsi="Times New Roman" w:cs="Times New Roman"/>
          <w:color w:val="000000" w:themeColor="text1"/>
          <w:sz w:val="28"/>
          <w:szCs w:val="28"/>
          <w:lang w:val="uk-UA"/>
        </w:rPr>
        <w:t>установи професійного</w:t>
      </w:r>
      <w:r w:rsidRPr="00E35F08">
        <w:rPr>
          <w:rFonts w:ascii="Times New Roman" w:hAnsi="Times New Roman" w:cs="Times New Roman"/>
          <w:color w:val="000000" w:themeColor="text1"/>
          <w:sz w:val="28"/>
          <w:szCs w:val="28"/>
          <w:lang w:val="uk-UA"/>
        </w:rPr>
        <w:t xml:space="preserve"> навчання, </w:t>
      </w:r>
      <w:r w:rsidRPr="00E35F08">
        <w:rPr>
          <w:rFonts w:ascii="Times New Roman" w:hAnsi="Times New Roman" w:cs="Times New Roman"/>
          <w:color w:val="000000" w:themeColor="text1"/>
          <w:sz w:val="28"/>
          <w:szCs w:val="28"/>
          <w:lang w:val="uk-UA"/>
        </w:rPr>
        <w:t>онлайн заклади освіти тощо</w:t>
      </w:r>
      <w:r w:rsidRPr="00E35F08">
        <w:rPr>
          <w:rFonts w:ascii="Times New Roman" w:hAnsi="Times New Roman" w:cs="Times New Roman"/>
          <w:color w:val="000000" w:themeColor="text1"/>
          <w:sz w:val="28"/>
          <w:szCs w:val="28"/>
          <w:lang w:val="uk-UA"/>
        </w:rPr>
        <w:t xml:space="preserve">. </w:t>
      </w:r>
      <w:r w:rsidRPr="00E35F08">
        <w:rPr>
          <w:rFonts w:ascii="Times New Roman" w:hAnsi="Times New Roman" w:cs="Times New Roman"/>
          <w:color w:val="000000" w:themeColor="text1"/>
          <w:sz w:val="28"/>
          <w:szCs w:val="28"/>
          <w:lang w:val="uk-UA"/>
        </w:rPr>
        <w:t xml:space="preserve">Сучасна особливість освітньої послуги – це її </w:t>
      </w:r>
      <w:proofErr w:type="spellStart"/>
      <w:r w:rsidRPr="00E35F08">
        <w:rPr>
          <w:rFonts w:ascii="Times New Roman" w:hAnsi="Times New Roman" w:cs="Times New Roman"/>
          <w:color w:val="000000" w:themeColor="text1"/>
          <w:sz w:val="28"/>
          <w:szCs w:val="28"/>
          <w:lang w:val="uk-UA"/>
        </w:rPr>
        <w:t>цифровізація</w:t>
      </w:r>
      <w:proofErr w:type="spellEnd"/>
      <w:r w:rsidRPr="00E35F08">
        <w:rPr>
          <w:rFonts w:ascii="Times New Roman" w:hAnsi="Times New Roman" w:cs="Times New Roman"/>
          <w:color w:val="000000" w:themeColor="text1"/>
          <w:sz w:val="28"/>
          <w:szCs w:val="28"/>
          <w:lang w:val="uk-UA"/>
        </w:rPr>
        <w:t>, створення онлайн шкіл тощо. Освіта тепер не є результатом відвідування освітньої будівлі, освіту можна здобути будь-якою мовою і у будь-якому місці.</w:t>
      </w:r>
    </w:p>
    <w:p w:rsidR="002900DA" w:rsidRPr="00E35F08" w:rsidRDefault="00C555A4" w:rsidP="002900DA">
      <w:pPr>
        <w:pStyle w:val="NoSpacing"/>
        <w:spacing w:line="360" w:lineRule="auto"/>
        <w:ind w:right="-234" w:firstLine="709"/>
        <w:jc w:val="both"/>
        <w:rPr>
          <w:rFonts w:ascii="Times New Roman" w:hAnsi="Times New Roman"/>
          <w:color w:val="000000" w:themeColor="text1"/>
          <w:sz w:val="28"/>
          <w:szCs w:val="28"/>
        </w:rPr>
      </w:pPr>
      <w:r w:rsidRPr="00E35F08">
        <w:rPr>
          <w:rFonts w:ascii="Times New Roman" w:hAnsi="Times New Roman"/>
          <w:color w:val="000000" w:themeColor="text1"/>
          <w:sz w:val="28"/>
          <w:szCs w:val="28"/>
        </w:rPr>
        <w:t>Однак, на сьогодні все ж о</w:t>
      </w:r>
      <w:r w:rsidRPr="00E35F08">
        <w:rPr>
          <w:rFonts w:ascii="Times New Roman" w:hAnsi="Times New Roman"/>
          <w:color w:val="000000" w:themeColor="text1"/>
          <w:sz w:val="28"/>
          <w:szCs w:val="28"/>
        </w:rPr>
        <w:t xml:space="preserve">сновними видами освітніх послуг вважаються </w:t>
      </w:r>
      <w:r w:rsidRPr="00E35F08">
        <w:rPr>
          <w:rFonts w:ascii="Times New Roman" w:hAnsi="Times New Roman"/>
          <w:color w:val="000000" w:themeColor="text1"/>
          <w:sz w:val="28"/>
          <w:szCs w:val="28"/>
        </w:rPr>
        <w:t>послуги з надання початкової та середньої освіти; в</w:t>
      </w:r>
      <w:r w:rsidRPr="00E35F08">
        <w:rPr>
          <w:rFonts w:ascii="Times New Roman" w:hAnsi="Times New Roman"/>
          <w:color w:val="000000" w:themeColor="text1"/>
          <w:sz w:val="28"/>
          <w:szCs w:val="28"/>
        </w:rPr>
        <w:t>ища освіта</w:t>
      </w:r>
      <w:r w:rsidRPr="00E35F08">
        <w:rPr>
          <w:rFonts w:ascii="Times New Roman" w:hAnsi="Times New Roman"/>
          <w:color w:val="000000" w:themeColor="text1"/>
          <w:sz w:val="28"/>
          <w:szCs w:val="28"/>
        </w:rPr>
        <w:t>; п</w:t>
      </w:r>
      <w:r w:rsidRPr="00E35F08">
        <w:rPr>
          <w:rFonts w:ascii="Times New Roman" w:hAnsi="Times New Roman"/>
          <w:color w:val="000000" w:themeColor="text1"/>
          <w:sz w:val="28"/>
          <w:szCs w:val="28"/>
        </w:rPr>
        <w:t>рофесійно-технічна освіта</w:t>
      </w:r>
      <w:r w:rsidRPr="00E35F08">
        <w:rPr>
          <w:rFonts w:ascii="Times New Roman" w:hAnsi="Times New Roman"/>
          <w:color w:val="000000" w:themeColor="text1"/>
          <w:sz w:val="28"/>
          <w:szCs w:val="28"/>
        </w:rPr>
        <w:t xml:space="preserve">. </w:t>
      </w:r>
      <w:r w:rsidRPr="00E35F08">
        <w:rPr>
          <w:rFonts w:ascii="Times New Roman" w:hAnsi="Times New Roman"/>
          <w:color w:val="000000" w:themeColor="text1"/>
          <w:sz w:val="28"/>
          <w:szCs w:val="28"/>
        </w:rPr>
        <w:t xml:space="preserve">Онлайн-освіта </w:t>
      </w:r>
      <w:r w:rsidRPr="00E35F08">
        <w:rPr>
          <w:rFonts w:ascii="Times New Roman" w:hAnsi="Times New Roman"/>
          <w:color w:val="000000" w:themeColor="text1"/>
          <w:sz w:val="28"/>
          <w:szCs w:val="28"/>
        </w:rPr>
        <w:t xml:space="preserve">набирає обертів за останні 10 років, адже цьому сприяє утворення </w:t>
      </w:r>
      <w:r w:rsidRPr="00E35F08">
        <w:rPr>
          <w:rFonts w:ascii="Times New Roman" w:hAnsi="Times New Roman"/>
          <w:color w:val="000000" w:themeColor="text1"/>
          <w:sz w:val="28"/>
          <w:szCs w:val="28"/>
        </w:rPr>
        <w:t>цифров</w:t>
      </w:r>
      <w:r w:rsidRPr="00E35F08">
        <w:rPr>
          <w:rFonts w:ascii="Times New Roman" w:hAnsi="Times New Roman"/>
          <w:color w:val="000000" w:themeColor="text1"/>
          <w:sz w:val="28"/>
          <w:szCs w:val="28"/>
        </w:rPr>
        <w:t xml:space="preserve">их </w:t>
      </w:r>
      <w:r w:rsidRPr="00E35F08">
        <w:rPr>
          <w:rFonts w:ascii="Times New Roman" w:hAnsi="Times New Roman"/>
          <w:color w:val="000000" w:themeColor="text1"/>
          <w:sz w:val="28"/>
          <w:szCs w:val="28"/>
        </w:rPr>
        <w:t xml:space="preserve">платформ, що пропонують курси та освітні програми шляхом використання Інтернет-технологій; </w:t>
      </w:r>
      <w:r w:rsidRPr="00E35F08">
        <w:rPr>
          <w:rFonts w:ascii="Times New Roman" w:hAnsi="Times New Roman"/>
          <w:color w:val="000000" w:themeColor="text1"/>
          <w:sz w:val="28"/>
          <w:szCs w:val="28"/>
        </w:rPr>
        <w:t xml:space="preserve">а також </w:t>
      </w:r>
      <w:r w:rsidRPr="00E35F08">
        <w:rPr>
          <w:rFonts w:ascii="Times New Roman" w:hAnsi="Times New Roman"/>
          <w:color w:val="000000" w:themeColor="text1"/>
          <w:sz w:val="28"/>
          <w:szCs w:val="28"/>
        </w:rPr>
        <w:t xml:space="preserve">масові відкриті онлайн-курси </w:t>
      </w:r>
      <w:r w:rsidRPr="00E35F08">
        <w:rPr>
          <w:rFonts w:ascii="Times New Roman" w:hAnsi="Times New Roman"/>
          <w:color w:val="000000" w:themeColor="text1"/>
          <w:sz w:val="28"/>
          <w:szCs w:val="28"/>
        </w:rPr>
        <w:t>тощо.</w:t>
      </w:r>
      <w:r w:rsidR="002900DA" w:rsidRPr="00E35F08">
        <w:rPr>
          <w:rFonts w:ascii="Times New Roman" w:hAnsi="Times New Roman"/>
          <w:color w:val="000000" w:themeColor="text1"/>
          <w:sz w:val="28"/>
          <w:szCs w:val="28"/>
        </w:rPr>
        <w:t xml:space="preserve"> </w:t>
      </w:r>
      <w:r w:rsidRPr="00E35F08">
        <w:rPr>
          <w:rFonts w:ascii="Times New Roman" w:hAnsi="Times New Roman"/>
          <w:color w:val="000000" w:themeColor="text1"/>
          <w:sz w:val="28"/>
          <w:szCs w:val="28"/>
        </w:rPr>
        <w:t xml:space="preserve">Великої популярності у сфері онлайн освіти набули </w:t>
      </w:r>
      <w:proofErr w:type="spellStart"/>
      <w:r w:rsidRPr="00E35F08">
        <w:rPr>
          <w:rFonts w:ascii="Times New Roman" w:hAnsi="Times New Roman"/>
          <w:color w:val="000000" w:themeColor="text1"/>
          <w:sz w:val="28"/>
          <w:szCs w:val="28"/>
        </w:rPr>
        <w:t>м</w:t>
      </w:r>
      <w:r w:rsidRPr="00E35F08">
        <w:rPr>
          <w:rFonts w:ascii="Times New Roman" w:hAnsi="Times New Roman"/>
          <w:color w:val="000000" w:themeColor="text1"/>
          <w:sz w:val="28"/>
          <w:szCs w:val="28"/>
        </w:rPr>
        <w:t>овні</w:t>
      </w:r>
      <w:proofErr w:type="spellEnd"/>
      <w:r w:rsidRPr="00E35F08">
        <w:rPr>
          <w:rFonts w:ascii="Times New Roman" w:hAnsi="Times New Roman"/>
          <w:color w:val="000000" w:themeColor="text1"/>
          <w:sz w:val="28"/>
          <w:szCs w:val="28"/>
        </w:rPr>
        <w:t xml:space="preserve"> школи та програми ESL (школи та програми, присвячені викладанню іноземних мов та англійської як другої мови (ESL); програми </w:t>
      </w:r>
      <w:proofErr w:type="spellStart"/>
      <w:r w:rsidRPr="00E35F08">
        <w:rPr>
          <w:rFonts w:ascii="Times New Roman" w:hAnsi="Times New Roman"/>
          <w:color w:val="000000" w:themeColor="text1"/>
          <w:sz w:val="28"/>
          <w:szCs w:val="28"/>
        </w:rPr>
        <w:t>мовного</w:t>
      </w:r>
      <w:proofErr w:type="spellEnd"/>
      <w:r w:rsidRPr="00E35F08">
        <w:rPr>
          <w:rFonts w:ascii="Times New Roman" w:hAnsi="Times New Roman"/>
          <w:color w:val="000000" w:themeColor="text1"/>
          <w:sz w:val="28"/>
          <w:szCs w:val="28"/>
        </w:rPr>
        <w:t xml:space="preserve"> занурення та </w:t>
      </w:r>
      <w:proofErr w:type="spellStart"/>
      <w:r w:rsidRPr="00E35F08">
        <w:rPr>
          <w:rFonts w:ascii="Times New Roman" w:hAnsi="Times New Roman"/>
          <w:color w:val="000000" w:themeColor="text1"/>
          <w:sz w:val="28"/>
          <w:szCs w:val="28"/>
        </w:rPr>
        <w:t>мовні</w:t>
      </w:r>
      <w:proofErr w:type="spellEnd"/>
      <w:r w:rsidRPr="00E35F08">
        <w:rPr>
          <w:rFonts w:ascii="Times New Roman" w:hAnsi="Times New Roman"/>
          <w:color w:val="000000" w:themeColor="text1"/>
          <w:sz w:val="28"/>
          <w:szCs w:val="28"/>
        </w:rPr>
        <w:t xml:space="preserve"> курси онлайн). </w:t>
      </w:r>
    </w:p>
    <w:p w:rsidR="00C555A4" w:rsidRPr="00E35F08" w:rsidRDefault="002900DA" w:rsidP="00C555A4">
      <w:pPr>
        <w:pStyle w:val="NoSpacing"/>
        <w:spacing w:line="360" w:lineRule="auto"/>
        <w:ind w:right="-234" w:firstLine="709"/>
        <w:jc w:val="both"/>
        <w:rPr>
          <w:rFonts w:ascii="Times New Roman" w:hAnsi="Times New Roman"/>
          <w:color w:val="000000" w:themeColor="text1"/>
          <w:sz w:val="28"/>
          <w:szCs w:val="28"/>
        </w:rPr>
      </w:pPr>
      <w:r w:rsidRPr="00E35F08">
        <w:rPr>
          <w:rFonts w:ascii="Times New Roman" w:hAnsi="Times New Roman"/>
          <w:color w:val="000000" w:themeColor="text1"/>
          <w:sz w:val="28"/>
          <w:szCs w:val="28"/>
        </w:rPr>
        <w:t xml:space="preserve">Як і будь-який ринок послуг, міжнародний ринок освітніх послуг розподілений за регіонами: </w:t>
      </w:r>
      <w:r w:rsidR="00C555A4" w:rsidRPr="00E35F08">
        <w:rPr>
          <w:rFonts w:ascii="Times New Roman" w:hAnsi="Times New Roman"/>
          <w:color w:val="000000" w:themeColor="text1"/>
          <w:sz w:val="28"/>
          <w:szCs w:val="28"/>
        </w:rPr>
        <w:t>Північн</w:t>
      </w:r>
      <w:r w:rsidRPr="00E35F08">
        <w:rPr>
          <w:rFonts w:ascii="Times New Roman" w:hAnsi="Times New Roman"/>
          <w:color w:val="000000" w:themeColor="text1"/>
          <w:sz w:val="28"/>
          <w:szCs w:val="28"/>
        </w:rPr>
        <w:t>а</w:t>
      </w:r>
      <w:r w:rsidR="00C555A4" w:rsidRPr="00E35F08">
        <w:rPr>
          <w:rFonts w:ascii="Times New Roman" w:hAnsi="Times New Roman"/>
          <w:color w:val="000000" w:themeColor="text1"/>
          <w:sz w:val="28"/>
          <w:szCs w:val="28"/>
        </w:rPr>
        <w:t xml:space="preserve"> Америк</w:t>
      </w:r>
      <w:r w:rsidRPr="00E35F08">
        <w:rPr>
          <w:rFonts w:ascii="Times New Roman" w:hAnsi="Times New Roman"/>
          <w:color w:val="000000" w:themeColor="text1"/>
          <w:sz w:val="28"/>
          <w:szCs w:val="28"/>
        </w:rPr>
        <w:t xml:space="preserve">а </w:t>
      </w:r>
      <w:r w:rsidR="00C555A4" w:rsidRPr="00E35F08">
        <w:rPr>
          <w:rFonts w:ascii="Times New Roman" w:hAnsi="Times New Roman"/>
          <w:color w:val="000000" w:themeColor="text1"/>
          <w:sz w:val="28"/>
          <w:szCs w:val="28"/>
        </w:rPr>
        <w:t xml:space="preserve">(США, Канада, Мексика); </w:t>
      </w:r>
      <w:r w:rsidR="00C555A4" w:rsidRPr="00E35F08">
        <w:rPr>
          <w:rFonts w:ascii="Times New Roman" w:hAnsi="Times New Roman"/>
          <w:color w:val="000000" w:themeColor="text1"/>
          <w:sz w:val="28"/>
          <w:szCs w:val="28"/>
        </w:rPr>
        <w:lastRenderedPageBreak/>
        <w:t xml:space="preserve">Німеччина, Франція, Великобританія, Італія </w:t>
      </w:r>
      <w:r w:rsidRPr="00E35F08">
        <w:rPr>
          <w:rFonts w:ascii="Times New Roman" w:hAnsi="Times New Roman"/>
          <w:color w:val="000000" w:themeColor="text1"/>
          <w:sz w:val="28"/>
          <w:szCs w:val="28"/>
        </w:rPr>
        <w:t>тощо</w:t>
      </w:r>
      <w:r w:rsidR="00C555A4" w:rsidRPr="00E35F08">
        <w:rPr>
          <w:rFonts w:ascii="Times New Roman" w:hAnsi="Times New Roman"/>
          <w:color w:val="000000" w:themeColor="text1"/>
          <w:sz w:val="28"/>
          <w:szCs w:val="28"/>
        </w:rPr>
        <w:t xml:space="preserve">; ринок Азіатсько-Тихоокеанського регіону (Китай, Японія, Південна Корея, Південно-Східна Азія, Індія і </w:t>
      </w:r>
      <w:proofErr w:type="spellStart"/>
      <w:r w:rsidR="00C555A4" w:rsidRPr="00E35F08">
        <w:rPr>
          <w:rFonts w:ascii="Times New Roman" w:hAnsi="Times New Roman"/>
          <w:color w:val="000000" w:themeColor="text1"/>
          <w:sz w:val="28"/>
          <w:szCs w:val="28"/>
        </w:rPr>
        <w:t>т.д</w:t>
      </w:r>
      <w:proofErr w:type="spellEnd"/>
      <w:r w:rsidR="00C555A4" w:rsidRPr="00E35F08">
        <w:rPr>
          <w:rFonts w:ascii="Times New Roman" w:hAnsi="Times New Roman"/>
          <w:color w:val="000000" w:themeColor="text1"/>
          <w:sz w:val="28"/>
          <w:szCs w:val="28"/>
        </w:rPr>
        <w:t>.); ринок Південної Америки (Бразилія та ін.); ринок Близького Сходу і Африки (Туреччина, країни Перської затоки, Африка).</w:t>
      </w:r>
    </w:p>
    <w:p w:rsidR="00C555A4" w:rsidRPr="00E35F08" w:rsidRDefault="00C555A4" w:rsidP="00C555A4">
      <w:pPr>
        <w:pStyle w:val="NoSpacing"/>
        <w:spacing w:line="360" w:lineRule="auto"/>
        <w:ind w:right="-234" w:firstLine="709"/>
        <w:jc w:val="both"/>
        <w:rPr>
          <w:rFonts w:ascii="Times New Roman" w:hAnsi="Times New Roman"/>
          <w:color w:val="000000" w:themeColor="text1"/>
          <w:sz w:val="28"/>
          <w:szCs w:val="28"/>
        </w:rPr>
      </w:pPr>
      <w:r w:rsidRPr="00E35F08">
        <w:rPr>
          <w:rFonts w:ascii="Times New Roman" w:hAnsi="Times New Roman"/>
          <w:color w:val="000000" w:themeColor="text1"/>
          <w:sz w:val="28"/>
          <w:szCs w:val="28"/>
        </w:rPr>
        <w:t>Глобальний ринок освітніх послуг значною мірою обумовлений зростанням попиту на якісну освіту. Крім того, технологічний прогрес і все активніше використання «хмарних» технологій також відіграють важливу роль у подальшому розвитку ринку. Розвиток ринку також стимулює потреба в онлайн-освіті, яка є зручнішим й економічно ефективнішим способом навчання та надає доступ до освіти великій кількості студентів</w:t>
      </w:r>
      <w:r w:rsidR="00E35F08">
        <w:rPr>
          <w:rFonts w:ascii="Times New Roman" w:hAnsi="Times New Roman"/>
          <w:color w:val="000000" w:themeColor="text1"/>
          <w:sz w:val="28"/>
          <w:szCs w:val="28"/>
        </w:rPr>
        <w:t xml:space="preserve"> </w:t>
      </w:r>
      <w:r w:rsidR="00E35F08">
        <w:rPr>
          <w:rFonts w:ascii="Times New Roman" w:hAnsi="Times New Roman"/>
          <w:color w:val="000000" w:themeColor="text1"/>
          <w:sz w:val="28"/>
          <w:szCs w:val="28"/>
          <w:lang w:val="en-US"/>
        </w:rPr>
        <w:t>[</w:t>
      </w:r>
      <w:r w:rsidR="00E35F08">
        <w:rPr>
          <w:rFonts w:ascii="Times New Roman" w:hAnsi="Times New Roman"/>
          <w:color w:val="000000" w:themeColor="text1"/>
          <w:sz w:val="28"/>
          <w:szCs w:val="28"/>
        </w:rPr>
        <w:t>2</w:t>
      </w:r>
      <w:r w:rsidR="00E35F08">
        <w:rPr>
          <w:rFonts w:ascii="Times New Roman" w:hAnsi="Times New Roman"/>
          <w:color w:val="000000" w:themeColor="text1"/>
          <w:sz w:val="28"/>
          <w:szCs w:val="28"/>
          <w:lang w:val="en-US"/>
        </w:rPr>
        <w:t>]</w:t>
      </w:r>
      <w:r w:rsidRPr="00E35F08">
        <w:rPr>
          <w:rFonts w:ascii="Times New Roman" w:hAnsi="Times New Roman"/>
          <w:color w:val="000000" w:themeColor="text1"/>
          <w:sz w:val="28"/>
          <w:szCs w:val="28"/>
        </w:rPr>
        <w:t>.</w:t>
      </w:r>
    </w:p>
    <w:p w:rsidR="00C555A4" w:rsidRPr="00E35F08" w:rsidRDefault="00C555A4" w:rsidP="00C555A4">
      <w:pPr>
        <w:pStyle w:val="NoSpacing"/>
        <w:spacing w:line="360" w:lineRule="auto"/>
        <w:ind w:right="-234" w:firstLine="709"/>
        <w:jc w:val="both"/>
        <w:rPr>
          <w:rFonts w:ascii="Times New Roman" w:hAnsi="Times New Roman"/>
          <w:color w:val="000000" w:themeColor="text1"/>
          <w:sz w:val="28"/>
          <w:szCs w:val="28"/>
        </w:rPr>
      </w:pPr>
      <w:r w:rsidRPr="00E35F08">
        <w:rPr>
          <w:rFonts w:ascii="Times New Roman" w:hAnsi="Times New Roman"/>
          <w:color w:val="000000" w:themeColor="text1"/>
          <w:sz w:val="28"/>
          <w:szCs w:val="28"/>
        </w:rPr>
        <w:t xml:space="preserve">До обмежень сфери можливостей для глобального ринку освітніх послуг можна віднести зростання вартості цих послуг, недостатню обізнаність про онлайн-освіту та брак кваліфікованих викладачів. При цьому зростання вартості освітніх послуг є основним фактором, який обмежує розвиток світового ринку. </w:t>
      </w:r>
    </w:p>
    <w:p w:rsidR="00C555A4" w:rsidRPr="00E35F08" w:rsidRDefault="002900DA" w:rsidP="002900DA">
      <w:pPr>
        <w:pStyle w:val="NoSpacing"/>
        <w:spacing w:line="360" w:lineRule="auto"/>
        <w:ind w:right="-234" w:firstLine="709"/>
        <w:jc w:val="both"/>
        <w:rPr>
          <w:rFonts w:ascii="Times New Roman" w:hAnsi="Times New Roman"/>
          <w:color w:val="000000" w:themeColor="text1"/>
          <w:sz w:val="28"/>
          <w:szCs w:val="28"/>
        </w:rPr>
      </w:pPr>
      <w:r w:rsidRPr="00E35F08">
        <w:rPr>
          <w:rFonts w:ascii="Times New Roman" w:hAnsi="Times New Roman"/>
          <w:color w:val="000000" w:themeColor="text1"/>
          <w:sz w:val="28"/>
          <w:szCs w:val="28"/>
        </w:rPr>
        <w:t>Основними тенденціями розвитку міжнародного ринку освітніх послуг є</w:t>
      </w:r>
      <w:r w:rsidR="00C555A4" w:rsidRPr="00E35F08">
        <w:rPr>
          <w:rFonts w:ascii="Times New Roman" w:hAnsi="Times New Roman"/>
          <w:color w:val="000000" w:themeColor="text1"/>
          <w:sz w:val="28"/>
          <w:szCs w:val="28"/>
        </w:rPr>
        <w:t>:</w:t>
      </w:r>
      <w:r w:rsidRPr="00E35F08">
        <w:rPr>
          <w:rFonts w:ascii="Times New Roman" w:hAnsi="Times New Roman"/>
          <w:color w:val="000000" w:themeColor="text1"/>
          <w:sz w:val="28"/>
          <w:szCs w:val="28"/>
        </w:rPr>
        <w:t xml:space="preserve"> новітні </w:t>
      </w:r>
      <w:r w:rsidR="00C555A4" w:rsidRPr="00E35F08">
        <w:rPr>
          <w:rFonts w:ascii="Times New Roman" w:hAnsi="Times New Roman"/>
          <w:color w:val="000000" w:themeColor="text1"/>
          <w:sz w:val="28"/>
          <w:szCs w:val="28"/>
        </w:rPr>
        <w:t>технологій</w:t>
      </w:r>
      <w:r w:rsidRPr="00E35F08">
        <w:rPr>
          <w:rFonts w:ascii="Times New Roman" w:hAnsi="Times New Roman"/>
          <w:color w:val="000000" w:themeColor="text1"/>
          <w:sz w:val="28"/>
          <w:szCs w:val="28"/>
        </w:rPr>
        <w:t xml:space="preserve"> в освіті; р</w:t>
      </w:r>
      <w:r w:rsidR="00C555A4" w:rsidRPr="00E35F08">
        <w:rPr>
          <w:rFonts w:ascii="Times New Roman" w:hAnsi="Times New Roman"/>
          <w:color w:val="000000" w:themeColor="text1"/>
          <w:sz w:val="28"/>
          <w:szCs w:val="28"/>
        </w:rPr>
        <w:t>озвиток онлайн-освіти</w:t>
      </w:r>
      <w:r w:rsidRPr="00E35F08">
        <w:rPr>
          <w:rFonts w:ascii="Times New Roman" w:hAnsi="Times New Roman"/>
          <w:color w:val="000000" w:themeColor="text1"/>
          <w:sz w:val="28"/>
          <w:szCs w:val="28"/>
        </w:rPr>
        <w:t xml:space="preserve">; зосередження на якості освітнього процесу; виникнення нових моделей навчання (дистанційне наприклад); попит </w:t>
      </w:r>
      <w:r w:rsidR="00C555A4" w:rsidRPr="00E35F08">
        <w:rPr>
          <w:rFonts w:ascii="Times New Roman" w:hAnsi="Times New Roman"/>
          <w:color w:val="000000" w:themeColor="text1"/>
          <w:sz w:val="28"/>
          <w:szCs w:val="28"/>
        </w:rPr>
        <w:t>на професійно-технічну освіту</w:t>
      </w:r>
      <w:r w:rsidRPr="00E35F08">
        <w:rPr>
          <w:rFonts w:ascii="Times New Roman" w:hAnsi="Times New Roman"/>
          <w:color w:val="000000" w:themeColor="text1"/>
          <w:sz w:val="28"/>
          <w:szCs w:val="28"/>
        </w:rPr>
        <w:t xml:space="preserve">; </w:t>
      </w:r>
      <w:proofErr w:type="spellStart"/>
      <w:r w:rsidRPr="00E35F08">
        <w:rPr>
          <w:rFonts w:ascii="Times New Roman" w:hAnsi="Times New Roman"/>
          <w:color w:val="000000" w:themeColor="text1"/>
          <w:sz w:val="28"/>
          <w:szCs w:val="28"/>
        </w:rPr>
        <w:t>висококонкурентність</w:t>
      </w:r>
      <w:proofErr w:type="spellEnd"/>
      <w:r w:rsidRPr="00E35F08">
        <w:rPr>
          <w:rFonts w:ascii="Times New Roman" w:hAnsi="Times New Roman"/>
          <w:color w:val="000000" w:themeColor="text1"/>
          <w:sz w:val="28"/>
          <w:szCs w:val="28"/>
        </w:rPr>
        <w:t xml:space="preserve"> ринку освітніх послуг</w:t>
      </w:r>
      <w:r w:rsidR="00E35F08">
        <w:rPr>
          <w:rFonts w:ascii="Times New Roman" w:hAnsi="Times New Roman"/>
          <w:color w:val="000000" w:themeColor="text1"/>
          <w:sz w:val="28"/>
          <w:szCs w:val="28"/>
        </w:rPr>
        <w:t xml:space="preserve"> </w:t>
      </w:r>
      <w:r w:rsidR="00E35F08">
        <w:rPr>
          <w:rFonts w:ascii="Times New Roman" w:hAnsi="Times New Roman"/>
          <w:color w:val="000000" w:themeColor="text1"/>
          <w:sz w:val="28"/>
          <w:szCs w:val="28"/>
          <w:lang w:val="en-US"/>
        </w:rPr>
        <w:t>[1]</w:t>
      </w:r>
      <w:r w:rsidR="00C555A4" w:rsidRPr="00E35F08">
        <w:rPr>
          <w:rFonts w:ascii="Times New Roman" w:hAnsi="Times New Roman"/>
          <w:color w:val="000000" w:themeColor="text1"/>
          <w:sz w:val="28"/>
          <w:szCs w:val="28"/>
        </w:rPr>
        <w:t>.</w:t>
      </w:r>
    </w:p>
    <w:p w:rsidR="00C555A4" w:rsidRPr="00E35F08" w:rsidRDefault="002900DA" w:rsidP="002900DA">
      <w:pPr>
        <w:pStyle w:val="NoSpacing"/>
        <w:spacing w:line="360" w:lineRule="auto"/>
        <w:ind w:right="-234" w:firstLine="709"/>
        <w:jc w:val="both"/>
        <w:rPr>
          <w:rFonts w:ascii="Times New Roman" w:hAnsi="Times New Roman"/>
          <w:color w:val="000000" w:themeColor="text1"/>
          <w:sz w:val="28"/>
          <w:szCs w:val="28"/>
        </w:rPr>
      </w:pPr>
      <w:r w:rsidRPr="00E35F08">
        <w:rPr>
          <w:rFonts w:ascii="Times New Roman" w:hAnsi="Times New Roman"/>
          <w:color w:val="000000" w:themeColor="text1"/>
          <w:sz w:val="28"/>
          <w:szCs w:val="28"/>
        </w:rPr>
        <w:t xml:space="preserve">Міжнародний ринок освітніх послуг має власні переваги, зокрема, особистісний і професійний розвиток; доступність освіти;  </w:t>
      </w:r>
      <w:r w:rsidR="00C555A4" w:rsidRPr="00E35F08">
        <w:rPr>
          <w:rFonts w:ascii="Times New Roman" w:hAnsi="Times New Roman"/>
          <w:color w:val="000000" w:themeColor="text1"/>
          <w:sz w:val="28"/>
          <w:szCs w:val="28"/>
        </w:rPr>
        <w:t>індивідуальний підхід до навчання</w:t>
      </w:r>
      <w:r w:rsidRPr="00E35F08">
        <w:rPr>
          <w:rFonts w:ascii="Times New Roman" w:hAnsi="Times New Roman"/>
          <w:color w:val="000000" w:themeColor="text1"/>
          <w:sz w:val="28"/>
          <w:szCs w:val="28"/>
        </w:rPr>
        <w:t>;</w:t>
      </w:r>
      <w:r w:rsidR="00C555A4" w:rsidRPr="00E35F08">
        <w:rPr>
          <w:rFonts w:ascii="Times New Roman" w:hAnsi="Times New Roman"/>
          <w:color w:val="000000" w:themeColor="text1"/>
          <w:sz w:val="28"/>
          <w:szCs w:val="28"/>
        </w:rPr>
        <w:t xml:space="preserve"> </w:t>
      </w:r>
      <w:proofErr w:type="spellStart"/>
      <w:r w:rsidRPr="00E35F08">
        <w:rPr>
          <w:rFonts w:ascii="Times New Roman" w:hAnsi="Times New Roman"/>
          <w:color w:val="000000" w:themeColor="text1"/>
          <w:sz w:val="28"/>
          <w:szCs w:val="28"/>
        </w:rPr>
        <w:t>різноматіність</w:t>
      </w:r>
      <w:proofErr w:type="spellEnd"/>
      <w:r w:rsidRPr="00E35F08">
        <w:rPr>
          <w:rFonts w:ascii="Times New Roman" w:hAnsi="Times New Roman"/>
          <w:color w:val="000000" w:themeColor="text1"/>
          <w:sz w:val="28"/>
          <w:szCs w:val="28"/>
        </w:rPr>
        <w:t xml:space="preserve"> навчання, можливість онлайн навчання; доступність інноваційних технологій у навчанні</w:t>
      </w:r>
      <w:r w:rsidR="00C555A4" w:rsidRPr="00E35F08">
        <w:rPr>
          <w:rFonts w:ascii="Times New Roman" w:hAnsi="Times New Roman"/>
          <w:color w:val="000000" w:themeColor="text1"/>
          <w:sz w:val="28"/>
          <w:szCs w:val="28"/>
        </w:rPr>
        <w:t>.</w:t>
      </w:r>
    </w:p>
    <w:p w:rsidR="00C555A4" w:rsidRPr="00E35F08" w:rsidRDefault="002900DA" w:rsidP="00E35F08">
      <w:pPr>
        <w:pStyle w:val="NoSpacing"/>
        <w:spacing w:line="360" w:lineRule="auto"/>
        <w:ind w:right="-234" w:firstLine="709"/>
        <w:jc w:val="both"/>
        <w:rPr>
          <w:rFonts w:ascii="Times New Roman" w:hAnsi="Times New Roman"/>
          <w:color w:val="000000" w:themeColor="text1"/>
          <w:sz w:val="28"/>
          <w:szCs w:val="28"/>
          <w:lang w:val="en-US"/>
        </w:rPr>
      </w:pPr>
      <w:r w:rsidRPr="00E35F08">
        <w:rPr>
          <w:rFonts w:ascii="Times New Roman" w:hAnsi="Times New Roman"/>
          <w:color w:val="000000" w:themeColor="text1"/>
          <w:sz w:val="28"/>
          <w:szCs w:val="28"/>
        </w:rPr>
        <w:t>На шляху розвитку українських освітніх послуг на міжнародному ринку наявні і перешкоди, такі як: вартість освіти, обмежений доступ до мережі Інтернет у деяких населених пунктах, недостатнє державне фінансування освітніх послуг, що призупиняє розвиток освіти; бюрократичні перешкоди на шляху до інноваційної освіти; кадровий педагогічний голод тощо</w:t>
      </w:r>
      <w:r w:rsidR="00E35F08">
        <w:rPr>
          <w:rStyle w:val="FootnoteReference"/>
          <w:rFonts w:ascii="Times New Roman" w:hAnsi="Times New Roman"/>
          <w:color w:val="000000" w:themeColor="text1"/>
          <w:sz w:val="28"/>
          <w:szCs w:val="28"/>
          <w:lang w:val="en-US"/>
        </w:rPr>
        <w:t xml:space="preserve"> </w:t>
      </w:r>
      <w:r w:rsidR="00E35F08">
        <w:rPr>
          <w:rFonts w:ascii="Times New Roman" w:hAnsi="Times New Roman"/>
          <w:color w:val="000000" w:themeColor="text1"/>
          <w:sz w:val="28"/>
          <w:szCs w:val="28"/>
          <w:lang w:val="en-US"/>
        </w:rPr>
        <w:t>[1]</w:t>
      </w:r>
      <w:r w:rsidR="00E35F08" w:rsidRPr="00E35F08">
        <w:rPr>
          <w:rFonts w:ascii="Times New Roman" w:hAnsi="Times New Roman"/>
          <w:color w:val="000000" w:themeColor="text1"/>
          <w:sz w:val="28"/>
          <w:szCs w:val="28"/>
        </w:rPr>
        <w:t>.</w:t>
      </w:r>
    </w:p>
    <w:p w:rsidR="00C555A4" w:rsidRPr="00E35F08" w:rsidRDefault="00C555A4" w:rsidP="00C555A4">
      <w:pPr>
        <w:pStyle w:val="NoSpacing"/>
        <w:spacing w:line="360" w:lineRule="auto"/>
        <w:ind w:right="-234" w:firstLine="709"/>
        <w:jc w:val="both"/>
        <w:rPr>
          <w:rFonts w:ascii="Times New Roman" w:hAnsi="Times New Roman"/>
          <w:color w:val="000000" w:themeColor="text1"/>
          <w:sz w:val="28"/>
          <w:szCs w:val="28"/>
        </w:rPr>
      </w:pPr>
      <w:r w:rsidRPr="00E35F08">
        <w:rPr>
          <w:rFonts w:ascii="Times New Roman" w:hAnsi="Times New Roman"/>
          <w:color w:val="000000" w:themeColor="text1"/>
          <w:sz w:val="28"/>
          <w:szCs w:val="28"/>
        </w:rPr>
        <w:lastRenderedPageBreak/>
        <w:t xml:space="preserve">Технологічний прогрес і розвиток онлайн-платформ для навчання також суттєво вплинули на освіту, зробивши її доступнішою та зручнішою. Крім того, соціальні та економічні чинники, такі як зміна вимог ринку праці та бажання багатьох людей просуватися по службі, стимулюють потребу у цих послугах з метою задоволення мінливих професійних потреб. </w:t>
      </w:r>
    </w:p>
    <w:p w:rsidR="002900DA" w:rsidRPr="00E35F08" w:rsidRDefault="002900DA" w:rsidP="00C555A4">
      <w:pPr>
        <w:pStyle w:val="NoSpacing"/>
        <w:spacing w:line="360" w:lineRule="auto"/>
        <w:ind w:right="-234" w:firstLine="709"/>
        <w:jc w:val="both"/>
        <w:rPr>
          <w:rFonts w:ascii="Times New Roman" w:hAnsi="Times New Roman"/>
          <w:color w:val="000000" w:themeColor="text1"/>
          <w:sz w:val="28"/>
          <w:szCs w:val="28"/>
        </w:rPr>
      </w:pPr>
      <w:r w:rsidRPr="00E35F08">
        <w:rPr>
          <w:rFonts w:ascii="Times New Roman" w:hAnsi="Times New Roman"/>
          <w:color w:val="000000" w:themeColor="text1"/>
          <w:sz w:val="28"/>
          <w:szCs w:val="28"/>
        </w:rPr>
        <w:t>Україна переживає воєнні часи, а отже попит української освіти за кордоном падає, через неможливість забезпечити безпеку перебування на території України іноземним студентам через військові дії.</w:t>
      </w:r>
    </w:p>
    <w:p w:rsidR="00C555A4" w:rsidRPr="00E35F08" w:rsidRDefault="00C555A4" w:rsidP="00C555A4">
      <w:pPr>
        <w:pStyle w:val="NoSpacing"/>
        <w:spacing w:line="360" w:lineRule="auto"/>
        <w:ind w:right="-234" w:firstLine="709"/>
        <w:jc w:val="both"/>
        <w:rPr>
          <w:rFonts w:ascii="Times New Roman" w:hAnsi="Times New Roman"/>
          <w:color w:val="000000" w:themeColor="text1"/>
          <w:sz w:val="28"/>
          <w:szCs w:val="28"/>
        </w:rPr>
      </w:pPr>
      <w:r w:rsidRPr="00E35F08">
        <w:rPr>
          <w:rFonts w:ascii="Times New Roman" w:hAnsi="Times New Roman"/>
          <w:color w:val="000000" w:themeColor="text1"/>
          <w:sz w:val="28"/>
          <w:szCs w:val="28"/>
        </w:rPr>
        <w:t>Оскільки міжнародний ринок освітніх послуг увесь час розвивається, Україні</w:t>
      </w:r>
      <w:r w:rsidR="002900DA" w:rsidRPr="00E35F08">
        <w:rPr>
          <w:rFonts w:ascii="Times New Roman" w:hAnsi="Times New Roman"/>
          <w:color w:val="000000" w:themeColor="text1"/>
          <w:sz w:val="28"/>
          <w:szCs w:val="28"/>
        </w:rPr>
        <w:t>, у період воєнного стану,</w:t>
      </w:r>
      <w:r w:rsidRPr="00E35F08">
        <w:rPr>
          <w:rFonts w:ascii="Times New Roman" w:hAnsi="Times New Roman"/>
          <w:color w:val="000000" w:themeColor="text1"/>
          <w:sz w:val="28"/>
          <w:szCs w:val="28"/>
        </w:rPr>
        <w:t xml:space="preserve"> буде все складніше експортувати на нього свої послуги, особливо зважаючи на теперішні обставини. Тому нашій державі потрібно вже зараз вжити відповідних заходів для підвищення конкурентоспроможності української освіти на його просторах. </w:t>
      </w:r>
    </w:p>
    <w:p w:rsidR="00AC09BD" w:rsidRPr="00E35F08" w:rsidRDefault="00AC09BD" w:rsidP="00C555A4">
      <w:pPr>
        <w:pStyle w:val="FootnoteText"/>
        <w:spacing w:line="360" w:lineRule="auto"/>
        <w:ind w:right="-234"/>
        <w:jc w:val="both"/>
        <w:rPr>
          <w:rFonts w:ascii="Times New Roman" w:hAnsi="Times New Roman" w:cs="Times New Roman"/>
          <w:color w:val="000000" w:themeColor="text1"/>
          <w:sz w:val="28"/>
          <w:szCs w:val="28"/>
          <w:lang w:val="uk-UA"/>
        </w:rPr>
      </w:pPr>
    </w:p>
    <w:p w:rsidR="00E35F08" w:rsidRPr="00E35F08" w:rsidRDefault="00E35F08" w:rsidP="00C555A4">
      <w:pPr>
        <w:pStyle w:val="FootnoteText"/>
        <w:spacing w:line="360" w:lineRule="auto"/>
        <w:ind w:right="-234"/>
        <w:jc w:val="both"/>
        <w:rPr>
          <w:rFonts w:ascii="Times New Roman" w:hAnsi="Times New Roman" w:cs="Times New Roman"/>
          <w:color w:val="000000" w:themeColor="text1"/>
          <w:sz w:val="28"/>
          <w:szCs w:val="28"/>
          <w:lang w:val="uk-UA"/>
        </w:rPr>
      </w:pPr>
    </w:p>
    <w:p w:rsidR="00E35F08" w:rsidRPr="00E35F08" w:rsidRDefault="00E35F08" w:rsidP="00E35F08">
      <w:pPr>
        <w:pStyle w:val="FootnoteText"/>
        <w:spacing w:line="360" w:lineRule="auto"/>
        <w:ind w:right="-234"/>
        <w:jc w:val="center"/>
        <w:rPr>
          <w:rFonts w:ascii="Times New Roman" w:hAnsi="Times New Roman" w:cs="Times New Roman"/>
          <w:b/>
          <w:bCs/>
          <w:color w:val="000000" w:themeColor="text1"/>
          <w:sz w:val="28"/>
          <w:szCs w:val="28"/>
          <w:lang w:val="uk-UA"/>
        </w:rPr>
      </w:pPr>
      <w:r w:rsidRPr="00E35F08">
        <w:rPr>
          <w:rFonts w:ascii="Times New Roman" w:hAnsi="Times New Roman" w:cs="Times New Roman"/>
          <w:b/>
          <w:bCs/>
          <w:color w:val="000000" w:themeColor="text1"/>
          <w:sz w:val="28"/>
          <w:szCs w:val="28"/>
          <w:lang w:val="uk-UA"/>
        </w:rPr>
        <w:t>Перелік використаних джерел</w:t>
      </w:r>
    </w:p>
    <w:p w:rsidR="00E35F08" w:rsidRPr="00E35F08" w:rsidRDefault="00E35F08" w:rsidP="00E35F08">
      <w:pPr>
        <w:pStyle w:val="FootnoteText"/>
        <w:spacing w:line="360" w:lineRule="auto"/>
        <w:ind w:right="-234"/>
        <w:jc w:val="center"/>
        <w:rPr>
          <w:rFonts w:ascii="Times New Roman" w:hAnsi="Times New Roman" w:cs="Times New Roman"/>
          <w:b/>
          <w:bCs/>
          <w:color w:val="000000" w:themeColor="text1"/>
          <w:sz w:val="28"/>
          <w:szCs w:val="28"/>
          <w:lang w:val="uk-UA"/>
        </w:rPr>
      </w:pPr>
    </w:p>
    <w:p w:rsidR="00E35F08" w:rsidRPr="00E35F08" w:rsidRDefault="00E35F08" w:rsidP="00E35F08">
      <w:pPr>
        <w:pStyle w:val="FootnoteText"/>
        <w:numPr>
          <w:ilvl w:val="0"/>
          <w:numId w:val="7"/>
        </w:numPr>
        <w:spacing w:line="360" w:lineRule="auto"/>
        <w:ind w:left="0" w:right="-234" w:firstLine="851"/>
        <w:jc w:val="both"/>
        <w:rPr>
          <w:rFonts w:ascii="Times New Roman" w:hAnsi="Times New Roman" w:cs="Times New Roman"/>
          <w:color w:val="000000" w:themeColor="text1"/>
          <w:sz w:val="28"/>
          <w:szCs w:val="28"/>
          <w:lang w:val="uk-UA"/>
        </w:rPr>
      </w:pPr>
      <w:r w:rsidRPr="00E35F08">
        <w:rPr>
          <w:rFonts w:ascii="Times New Roman" w:hAnsi="Times New Roman" w:cs="Times New Roman"/>
          <w:color w:val="000000" w:themeColor="text1"/>
          <w:sz w:val="28"/>
          <w:szCs w:val="28"/>
        </w:rPr>
        <w:t xml:space="preserve">Pratiksha </w:t>
      </w:r>
      <w:proofErr w:type="spellStart"/>
      <w:r w:rsidRPr="00E35F08">
        <w:rPr>
          <w:rFonts w:ascii="Times New Roman" w:hAnsi="Times New Roman" w:cs="Times New Roman"/>
          <w:color w:val="000000" w:themeColor="text1"/>
          <w:sz w:val="28"/>
          <w:szCs w:val="28"/>
        </w:rPr>
        <w:t>Dhekale</w:t>
      </w:r>
      <w:proofErr w:type="spellEnd"/>
      <w:r>
        <w:rPr>
          <w:rFonts w:ascii="Times New Roman" w:hAnsi="Times New Roman" w:cs="Times New Roman"/>
          <w:color w:val="000000" w:themeColor="text1"/>
          <w:sz w:val="28"/>
          <w:szCs w:val="28"/>
          <w:lang w:val="uk-UA"/>
        </w:rPr>
        <w:t>.</w:t>
      </w:r>
      <w:r w:rsidRPr="00E35F08">
        <w:rPr>
          <w:rFonts w:ascii="Times New Roman" w:hAnsi="Times New Roman" w:cs="Times New Roman"/>
          <w:color w:val="000000" w:themeColor="text1"/>
          <w:sz w:val="28"/>
          <w:szCs w:val="28"/>
        </w:rPr>
        <w:t xml:space="preserve"> Educational Services Market Size, Share, Growth, Analysis, Trends and Forecast</w:t>
      </w:r>
      <w:r w:rsidRPr="00E35F08">
        <w:rPr>
          <w:rFonts w:ascii="Times New Roman" w:hAnsi="Times New Roman" w:cs="Times New Roman"/>
          <w:color w:val="000000" w:themeColor="text1"/>
          <w:sz w:val="28"/>
          <w:szCs w:val="28"/>
          <w:lang w:val="uk-UA"/>
        </w:rPr>
        <w:t xml:space="preserve"> 2024</w:t>
      </w:r>
      <w:r>
        <w:rPr>
          <w:rFonts w:ascii="Times New Roman" w:hAnsi="Times New Roman" w:cs="Times New Roman"/>
          <w:color w:val="000000" w:themeColor="text1"/>
          <w:sz w:val="28"/>
          <w:szCs w:val="28"/>
          <w:lang w:val="uk-UA"/>
        </w:rPr>
        <w:t>-</w:t>
      </w:r>
      <w:r w:rsidRPr="00E35F08">
        <w:rPr>
          <w:rFonts w:ascii="Times New Roman" w:hAnsi="Times New Roman" w:cs="Times New Roman"/>
          <w:color w:val="000000" w:themeColor="text1"/>
          <w:sz w:val="28"/>
          <w:szCs w:val="28"/>
          <w:lang w:val="uk-UA"/>
        </w:rPr>
        <w:t>2030</w:t>
      </w:r>
      <w:r w:rsidRPr="00E35F08">
        <w:rPr>
          <w:rFonts w:ascii="Times New Roman" w:hAnsi="Times New Roman" w:cs="Times New Roman"/>
          <w:color w:val="000000" w:themeColor="text1"/>
          <w:sz w:val="28"/>
          <w:szCs w:val="28"/>
          <w:lang w:val="uk-UA"/>
        </w:rPr>
        <w:t xml:space="preserve">. </w:t>
      </w:r>
      <w:r w:rsidRPr="00E35F08">
        <w:rPr>
          <w:rFonts w:ascii="Times New Roman" w:hAnsi="Times New Roman" w:cs="Times New Roman"/>
          <w:color w:val="000000" w:themeColor="text1"/>
          <w:sz w:val="28"/>
          <w:szCs w:val="28"/>
          <w:lang w:val="uk-UA"/>
        </w:rPr>
        <w:t>URL: https://www.linkedin.com/pulse/educational-services-market-size-share-growth-trends-dhekale--34lzf/</w:t>
      </w:r>
      <w:r w:rsidRPr="00E35F08">
        <w:rPr>
          <w:rFonts w:ascii="Times New Roman" w:hAnsi="Times New Roman" w:cs="Times New Roman"/>
          <w:color w:val="000000" w:themeColor="text1"/>
          <w:sz w:val="28"/>
          <w:szCs w:val="28"/>
        </w:rPr>
        <w:t xml:space="preserve"> (</w:t>
      </w:r>
      <w:r w:rsidRPr="00E35F08">
        <w:rPr>
          <w:rFonts w:ascii="Times New Roman" w:hAnsi="Times New Roman" w:cs="Times New Roman"/>
          <w:color w:val="000000" w:themeColor="text1"/>
          <w:sz w:val="28"/>
          <w:szCs w:val="28"/>
          <w:lang w:val="uk-UA"/>
        </w:rPr>
        <w:t>дата звернення: 26.08.2024</w:t>
      </w:r>
      <w:r w:rsidRPr="00E35F08">
        <w:rPr>
          <w:rFonts w:ascii="Times New Roman" w:hAnsi="Times New Roman" w:cs="Times New Roman"/>
          <w:color w:val="000000" w:themeColor="text1"/>
          <w:sz w:val="28"/>
          <w:szCs w:val="28"/>
        </w:rPr>
        <w:t>).</w:t>
      </w:r>
    </w:p>
    <w:p w:rsidR="00E35F08" w:rsidRPr="00E35F08" w:rsidRDefault="00E35F08" w:rsidP="00E35F08">
      <w:pPr>
        <w:pStyle w:val="FootnoteText"/>
        <w:numPr>
          <w:ilvl w:val="0"/>
          <w:numId w:val="7"/>
        </w:numPr>
        <w:spacing w:line="360" w:lineRule="auto"/>
        <w:ind w:left="0" w:right="-92" w:firstLine="851"/>
        <w:jc w:val="both"/>
        <w:rPr>
          <w:rFonts w:ascii="Times New Roman" w:hAnsi="Times New Roman" w:cs="Times New Roman"/>
          <w:color w:val="000000" w:themeColor="text1"/>
          <w:sz w:val="28"/>
          <w:szCs w:val="28"/>
        </w:rPr>
      </w:pPr>
      <w:proofErr w:type="spellStart"/>
      <w:r w:rsidRPr="00E35F08">
        <w:rPr>
          <w:rFonts w:ascii="Times New Roman" w:hAnsi="Times New Roman" w:cs="Times New Roman"/>
          <w:color w:val="000000" w:themeColor="text1"/>
          <w:sz w:val="28"/>
          <w:szCs w:val="28"/>
        </w:rPr>
        <w:t>Beart</w:t>
      </w:r>
      <w:proofErr w:type="spellEnd"/>
      <w:r>
        <w:rPr>
          <w:rFonts w:ascii="Times New Roman" w:hAnsi="Times New Roman" w:cs="Times New Roman"/>
          <w:color w:val="000000" w:themeColor="text1"/>
          <w:sz w:val="28"/>
          <w:szCs w:val="28"/>
          <w:lang w:val="uk-UA"/>
        </w:rPr>
        <w:t xml:space="preserve"> </w:t>
      </w:r>
      <w:r w:rsidRPr="00E35F08">
        <w:rPr>
          <w:rFonts w:ascii="Times New Roman" w:hAnsi="Times New Roman" w:cs="Times New Roman"/>
          <w:color w:val="000000" w:themeColor="text1"/>
          <w:sz w:val="28"/>
          <w:szCs w:val="28"/>
        </w:rPr>
        <w:t>G. Looking to 2024: the challenges facing the education sector in the year ahead</w:t>
      </w:r>
      <w:r w:rsidRPr="00E35F08">
        <w:rPr>
          <w:rFonts w:ascii="Times New Roman" w:hAnsi="Times New Roman" w:cs="Times New Roman"/>
          <w:color w:val="000000" w:themeColor="text1"/>
          <w:sz w:val="28"/>
          <w:szCs w:val="28"/>
        </w:rPr>
        <w:t xml:space="preserve">. </w:t>
      </w:r>
      <w:r w:rsidRPr="00E35F08">
        <w:rPr>
          <w:rFonts w:ascii="Times New Roman" w:hAnsi="Times New Roman" w:cs="Times New Roman"/>
          <w:color w:val="000000" w:themeColor="text1"/>
          <w:sz w:val="28"/>
          <w:szCs w:val="28"/>
        </w:rPr>
        <w:t>URL: https://www.reed.com/articles/looking-to-2024-the-challenges-facing-the-education-sector-in-the-year-ahead</w:t>
      </w:r>
      <w:r w:rsidRPr="00E35F08">
        <w:rPr>
          <w:rFonts w:ascii="Times New Roman" w:hAnsi="Times New Roman" w:cs="Times New Roman"/>
          <w:color w:val="000000" w:themeColor="text1"/>
          <w:sz w:val="28"/>
          <w:szCs w:val="28"/>
          <w:lang w:val="uk-UA"/>
        </w:rPr>
        <w:t xml:space="preserve"> </w:t>
      </w:r>
      <w:r w:rsidRPr="00E35F08">
        <w:rPr>
          <w:rFonts w:ascii="Times New Roman" w:hAnsi="Times New Roman" w:cs="Times New Roman"/>
          <w:color w:val="000000" w:themeColor="text1"/>
          <w:sz w:val="28"/>
          <w:szCs w:val="28"/>
        </w:rPr>
        <w:t>(</w:t>
      </w:r>
      <w:r w:rsidRPr="00E35F08">
        <w:rPr>
          <w:rFonts w:ascii="Times New Roman" w:hAnsi="Times New Roman" w:cs="Times New Roman"/>
          <w:color w:val="000000" w:themeColor="text1"/>
          <w:sz w:val="28"/>
          <w:szCs w:val="28"/>
          <w:lang w:val="uk-UA"/>
        </w:rPr>
        <w:t>дата звернення: 26.08.2024</w:t>
      </w:r>
      <w:r w:rsidRPr="00E35F08">
        <w:rPr>
          <w:rFonts w:ascii="Times New Roman" w:hAnsi="Times New Roman" w:cs="Times New Roman"/>
          <w:color w:val="000000" w:themeColor="text1"/>
          <w:sz w:val="28"/>
          <w:szCs w:val="28"/>
        </w:rPr>
        <w:t>).</w:t>
      </w:r>
    </w:p>
    <w:p w:rsidR="00E35F08" w:rsidRPr="00E35F08" w:rsidRDefault="00E35F08" w:rsidP="00E35F08">
      <w:pPr>
        <w:pStyle w:val="FootnoteText"/>
        <w:spacing w:line="360" w:lineRule="auto"/>
        <w:ind w:left="720" w:right="-234"/>
        <w:jc w:val="both"/>
        <w:rPr>
          <w:rFonts w:ascii="Times New Roman" w:hAnsi="Times New Roman" w:cs="Times New Roman"/>
          <w:color w:val="000000" w:themeColor="text1"/>
          <w:sz w:val="28"/>
          <w:szCs w:val="28"/>
        </w:rPr>
      </w:pPr>
    </w:p>
    <w:sectPr w:rsidR="00E35F08" w:rsidRPr="00E35F08">
      <w:footerReference w:type="default" r:id="rId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1962" w:rsidRDefault="00F71962" w:rsidP="00B45E12">
      <w:pPr>
        <w:spacing w:after="0" w:line="240" w:lineRule="auto"/>
      </w:pPr>
      <w:r>
        <w:separator/>
      </w:r>
    </w:p>
  </w:endnote>
  <w:endnote w:type="continuationSeparator" w:id="0">
    <w:p w:rsidR="00F71962" w:rsidRDefault="00F71962" w:rsidP="00B45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387675"/>
      <w:docPartObj>
        <w:docPartGallery w:val="Page Numbers (Bottom of Page)"/>
        <w:docPartUnique/>
      </w:docPartObj>
    </w:sdtPr>
    <w:sdtEndPr/>
    <w:sdtContent>
      <w:p w:rsidR="00183253" w:rsidRDefault="00183253">
        <w:pPr>
          <w:pStyle w:val="Footer"/>
          <w:jc w:val="right"/>
        </w:pPr>
        <w:r>
          <w:fldChar w:fldCharType="begin"/>
        </w:r>
        <w:r>
          <w:instrText>PAGE   \* MERGEFORMAT</w:instrText>
        </w:r>
        <w:r>
          <w:fldChar w:fldCharType="separate"/>
        </w:r>
        <w:r w:rsidR="006C3C66" w:rsidRPr="006C3C66">
          <w:rPr>
            <w:noProof/>
            <w:lang w:val="ru-RU"/>
          </w:rPr>
          <w:t>4</w:t>
        </w:r>
        <w:r>
          <w:fldChar w:fldCharType="end"/>
        </w:r>
      </w:p>
    </w:sdtContent>
  </w:sdt>
  <w:p w:rsidR="00183253" w:rsidRDefault="00183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1962" w:rsidRDefault="00F71962" w:rsidP="00B45E12">
      <w:pPr>
        <w:spacing w:after="0" w:line="240" w:lineRule="auto"/>
      </w:pPr>
      <w:r>
        <w:separator/>
      </w:r>
    </w:p>
  </w:footnote>
  <w:footnote w:type="continuationSeparator" w:id="0">
    <w:p w:rsidR="00F71962" w:rsidRDefault="00F71962" w:rsidP="00B45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778FD"/>
    <w:multiLevelType w:val="hybridMultilevel"/>
    <w:tmpl w:val="0DAA7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A2495"/>
    <w:multiLevelType w:val="hybridMultilevel"/>
    <w:tmpl w:val="CAC0C4D0"/>
    <w:lvl w:ilvl="0" w:tplc="04090001">
      <w:start w:val="1"/>
      <w:numFmt w:val="bullet"/>
      <w:lvlText w:val=""/>
      <w:lvlJc w:val="left"/>
      <w:pPr>
        <w:ind w:left="1353" w:hanging="360"/>
      </w:pPr>
      <w:rPr>
        <w:rFonts w:ascii="Symbol" w:hAnsi="Symbol" w:hint="default"/>
        <w:color w:val="0C0C0C"/>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2" w15:restartNumberingAfterBreak="0">
    <w:nsid w:val="1F0C38B0"/>
    <w:multiLevelType w:val="hybridMultilevel"/>
    <w:tmpl w:val="226E24CE"/>
    <w:lvl w:ilvl="0" w:tplc="D1A43C98">
      <w:start w:val="3"/>
      <w:numFmt w:val="bullet"/>
      <w:lvlText w:val="-"/>
      <w:lvlJc w:val="left"/>
      <w:pPr>
        <w:ind w:left="1353" w:hanging="360"/>
      </w:pPr>
      <w:rPr>
        <w:rFonts w:ascii="Times New Roman" w:eastAsiaTheme="minorHAnsi" w:hAnsi="Times New Roman" w:cs="Times New Roman" w:hint="default"/>
        <w:color w:val="0C0C0C"/>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21E332C1"/>
    <w:multiLevelType w:val="hybridMultilevel"/>
    <w:tmpl w:val="AC28FC3E"/>
    <w:lvl w:ilvl="0" w:tplc="8CA288D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35FE7D7E"/>
    <w:multiLevelType w:val="hybridMultilevel"/>
    <w:tmpl w:val="5D029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0859D5"/>
    <w:multiLevelType w:val="hybridMultilevel"/>
    <w:tmpl w:val="20CC8BB4"/>
    <w:lvl w:ilvl="0" w:tplc="D39EE1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10B74"/>
    <w:multiLevelType w:val="hybridMultilevel"/>
    <w:tmpl w:val="B984B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386982">
    <w:abstractNumId w:val="4"/>
  </w:num>
  <w:num w:numId="2" w16cid:durableId="1070032252">
    <w:abstractNumId w:val="5"/>
  </w:num>
  <w:num w:numId="3" w16cid:durableId="684940968">
    <w:abstractNumId w:val="3"/>
  </w:num>
  <w:num w:numId="4" w16cid:durableId="1834370431">
    <w:abstractNumId w:val="6"/>
  </w:num>
  <w:num w:numId="5" w16cid:durableId="792870631">
    <w:abstractNumId w:val="2"/>
  </w:num>
  <w:num w:numId="6" w16cid:durableId="310185052">
    <w:abstractNumId w:val="1"/>
  </w:num>
  <w:num w:numId="7" w16cid:durableId="189881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F8F"/>
    <w:rsid w:val="00030A3C"/>
    <w:rsid w:val="000325B1"/>
    <w:rsid w:val="00032F55"/>
    <w:rsid w:val="00122E80"/>
    <w:rsid w:val="00127517"/>
    <w:rsid w:val="00183253"/>
    <w:rsid w:val="002900DA"/>
    <w:rsid w:val="002A5809"/>
    <w:rsid w:val="004322BD"/>
    <w:rsid w:val="006A0F8F"/>
    <w:rsid w:val="006C1C9C"/>
    <w:rsid w:val="006C3C66"/>
    <w:rsid w:val="00724283"/>
    <w:rsid w:val="007454DA"/>
    <w:rsid w:val="00A5290B"/>
    <w:rsid w:val="00AA5F3B"/>
    <w:rsid w:val="00AC09BD"/>
    <w:rsid w:val="00B31A3C"/>
    <w:rsid w:val="00B45E12"/>
    <w:rsid w:val="00B973B9"/>
    <w:rsid w:val="00BD757F"/>
    <w:rsid w:val="00BE45B5"/>
    <w:rsid w:val="00BE627D"/>
    <w:rsid w:val="00C172BF"/>
    <w:rsid w:val="00C555A4"/>
    <w:rsid w:val="00CE32C1"/>
    <w:rsid w:val="00D04BBD"/>
    <w:rsid w:val="00D77486"/>
    <w:rsid w:val="00E35F08"/>
    <w:rsid w:val="00F30C57"/>
    <w:rsid w:val="00F71962"/>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12EB"/>
  <w15:chartTrackingRefBased/>
  <w15:docId w15:val="{E91C0228-7C8C-4DE1-AE45-3237A76F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45E12"/>
    <w:pPr>
      <w:spacing w:after="0" w:line="240" w:lineRule="auto"/>
    </w:pPr>
    <w:rPr>
      <w:sz w:val="20"/>
      <w:szCs w:val="20"/>
    </w:rPr>
  </w:style>
  <w:style w:type="character" w:customStyle="1" w:styleId="FootnoteTextChar">
    <w:name w:val="Footnote Text Char"/>
    <w:basedOn w:val="DefaultParagraphFont"/>
    <w:link w:val="FootnoteText"/>
    <w:uiPriority w:val="99"/>
    <w:rsid w:val="00B45E12"/>
    <w:rPr>
      <w:sz w:val="20"/>
      <w:szCs w:val="20"/>
    </w:rPr>
  </w:style>
  <w:style w:type="character" w:styleId="FootnoteReference">
    <w:name w:val="footnote reference"/>
    <w:basedOn w:val="DefaultParagraphFont"/>
    <w:uiPriority w:val="99"/>
    <w:unhideWhenUsed/>
    <w:rsid w:val="00B45E12"/>
    <w:rPr>
      <w:vertAlign w:val="superscript"/>
    </w:rPr>
  </w:style>
  <w:style w:type="character" w:styleId="Hyperlink">
    <w:name w:val="Hyperlink"/>
    <w:basedOn w:val="DefaultParagraphFont"/>
    <w:uiPriority w:val="99"/>
    <w:unhideWhenUsed/>
    <w:rsid w:val="00D04BBD"/>
    <w:rPr>
      <w:color w:val="0563C1" w:themeColor="hyperlink"/>
      <w:u w:val="single"/>
    </w:rPr>
  </w:style>
  <w:style w:type="paragraph" w:styleId="Header">
    <w:name w:val="header"/>
    <w:basedOn w:val="Normal"/>
    <w:link w:val="HeaderChar"/>
    <w:uiPriority w:val="99"/>
    <w:unhideWhenUsed/>
    <w:rsid w:val="00D04BBD"/>
    <w:pPr>
      <w:tabs>
        <w:tab w:val="center" w:pos="4844"/>
        <w:tab w:val="right" w:pos="9689"/>
      </w:tabs>
      <w:spacing w:after="0" w:line="240" w:lineRule="auto"/>
    </w:pPr>
  </w:style>
  <w:style w:type="character" w:customStyle="1" w:styleId="HeaderChar">
    <w:name w:val="Header Char"/>
    <w:basedOn w:val="DefaultParagraphFont"/>
    <w:link w:val="Header"/>
    <w:uiPriority w:val="99"/>
    <w:rsid w:val="00D04BBD"/>
  </w:style>
  <w:style w:type="paragraph" w:styleId="Footer">
    <w:name w:val="footer"/>
    <w:basedOn w:val="Normal"/>
    <w:link w:val="FooterChar"/>
    <w:uiPriority w:val="99"/>
    <w:unhideWhenUsed/>
    <w:rsid w:val="00D04BBD"/>
    <w:pPr>
      <w:tabs>
        <w:tab w:val="center" w:pos="4844"/>
        <w:tab w:val="right" w:pos="9689"/>
      </w:tabs>
      <w:spacing w:after="0" w:line="240" w:lineRule="auto"/>
    </w:pPr>
  </w:style>
  <w:style w:type="character" w:customStyle="1" w:styleId="FooterChar">
    <w:name w:val="Footer Char"/>
    <w:basedOn w:val="DefaultParagraphFont"/>
    <w:link w:val="Footer"/>
    <w:uiPriority w:val="99"/>
    <w:rsid w:val="00D04BBD"/>
  </w:style>
  <w:style w:type="paragraph" w:styleId="ListParagraph">
    <w:name w:val="List Paragraph"/>
    <w:basedOn w:val="Normal"/>
    <w:uiPriority w:val="34"/>
    <w:qFormat/>
    <w:rsid w:val="00127517"/>
    <w:pPr>
      <w:ind w:left="720"/>
      <w:contextualSpacing/>
    </w:pPr>
  </w:style>
  <w:style w:type="paragraph" w:styleId="NormalWeb">
    <w:name w:val="Normal (Web)"/>
    <w:uiPriority w:val="99"/>
    <w:rsid w:val="000325B1"/>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uk-UA" w:eastAsia="uk-UA"/>
    </w:rPr>
  </w:style>
  <w:style w:type="character" w:customStyle="1" w:styleId="a">
    <w:name w:val="Символ сноски"/>
    <w:rsid w:val="00C555A4"/>
  </w:style>
  <w:style w:type="paragraph" w:styleId="NoSpacing">
    <w:name w:val="No Spacing"/>
    <w:uiPriority w:val="1"/>
    <w:qFormat/>
    <w:rsid w:val="00C555A4"/>
    <w:pPr>
      <w:spacing w:after="0" w:line="240" w:lineRule="auto"/>
    </w:pPr>
    <w:rPr>
      <w:rFonts w:ascii="Calibri" w:eastAsia="Calibri" w:hAnsi="Calibri" w:cs="Times New Roman"/>
      <w:lang w:val="uk-UA"/>
    </w:rPr>
  </w:style>
  <w:style w:type="character" w:styleId="UnresolvedMention">
    <w:name w:val="Unresolved Mention"/>
    <w:basedOn w:val="DefaultParagraphFont"/>
    <w:uiPriority w:val="99"/>
    <w:semiHidden/>
    <w:unhideWhenUsed/>
    <w:rsid w:val="00E35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1744F-2F8C-4FD6-B4D0-D686A2C1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602</Words>
  <Characters>4262</Characters>
  <Application>Microsoft Office Word</Application>
  <DocSecurity>0</DocSecurity>
  <Lines>73</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Microsoft Office User</cp:lastModifiedBy>
  <cp:revision>3</cp:revision>
  <dcterms:created xsi:type="dcterms:W3CDTF">2024-08-26T14:49:00Z</dcterms:created>
  <dcterms:modified xsi:type="dcterms:W3CDTF">2024-08-26T15:14:00Z</dcterms:modified>
</cp:coreProperties>
</file>