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89" w:rsidRDefault="007F0D89" w:rsidP="007F0D8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Феняк Лариса Анатоліївна</w:t>
      </w:r>
    </w:p>
    <w:p w:rsidR="007F0D89" w:rsidRDefault="007F0D89" w:rsidP="007F0D8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Вінницький національний аграрний університет</w:t>
      </w:r>
    </w:p>
    <w:p w:rsidR="007F0D89" w:rsidRPr="007F0D89" w:rsidRDefault="007F0D89" w:rsidP="007F0D8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7F0D89">
        <w:rPr>
          <w:rFonts w:ascii="Times New Roman" w:hAnsi="Times New Roman" w:cs="Times New Roman"/>
          <w:sz w:val="28"/>
          <w:szCs w:val="28"/>
        </w:rPr>
        <w:t xml:space="preserve"> 0000-0002-2314-1418</w:t>
      </w:r>
    </w:p>
    <w:p w:rsidR="00265B3F" w:rsidRPr="00802CFF" w:rsidRDefault="007F0D89" w:rsidP="00BE16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Державна підтримка </w:t>
      </w:r>
      <w:r w:rsidR="00802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галузі садівництва в Україні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її роль </w:t>
      </w:r>
      <w:r w:rsidR="002C3A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підвищенні </w:t>
      </w:r>
      <w:r w:rsidR="00802CFF">
        <w:rPr>
          <w:rFonts w:ascii="Times New Roman" w:hAnsi="Times New Roman" w:cs="Times New Roman"/>
          <w:b/>
          <w:sz w:val="28"/>
          <w:szCs w:val="28"/>
          <w:lang w:val="uk-UA"/>
        </w:rPr>
        <w:t>конкурентоспроможності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садівничої продукції</w:t>
      </w:r>
    </w:p>
    <w:p w:rsidR="007668DC" w:rsidRPr="00802CFF" w:rsidRDefault="007668DC" w:rsidP="00766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CFF">
        <w:rPr>
          <w:rFonts w:ascii="Times New Roman" w:hAnsi="Times New Roman" w:cs="Times New Roman"/>
          <w:sz w:val="28"/>
          <w:szCs w:val="28"/>
          <w:lang w:val="uk-UA"/>
        </w:rPr>
        <w:t>Україна має сприятливі природні та кліматичні умови для вирощування більшості плодово-ягідних культур не тільки для власн</w:t>
      </w:r>
      <w:r w:rsidR="00802CF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споживання, а й для формування експортного потенціалу.</w:t>
      </w:r>
    </w:p>
    <w:p w:rsidR="004A6DC2" w:rsidRPr="00802CFF" w:rsidRDefault="004A6DC2" w:rsidP="00375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На тлі світових тенденцій у садівництві, коли </w:t>
      </w:r>
      <w:r w:rsidR="00375D4D"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впроваджувалися 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нові інтенсивні технології, нові сорти, українське садівництво залишалося на тому ж рівні, що й ті ресурси, які </w:t>
      </w:r>
      <w:r w:rsidR="00375D4D">
        <w:rPr>
          <w:rFonts w:ascii="Times New Roman" w:hAnsi="Times New Roman" w:cs="Times New Roman"/>
          <w:sz w:val="28"/>
          <w:szCs w:val="28"/>
          <w:lang w:val="uk-UA"/>
        </w:rPr>
        <w:t>залишилисьу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</w:t>
      </w:r>
      <w:r w:rsidR="00375D4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з радянських часів. </w:t>
      </w:r>
      <w:r w:rsidR="00375D4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таким </w:t>
      </w:r>
      <w:r w:rsidR="00B41BE6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, галузь без значних інвестицій, замін</w:t>
      </w:r>
      <w:r w:rsidR="00B41BE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технологій, наявн</w:t>
      </w:r>
      <w:r w:rsidR="00B41BE6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належної інфраструктури не може розвиватися за рахунок власн</w:t>
      </w:r>
      <w:r w:rsidR="00640EC6">
        <w:rPr>
          <w:rFonts w:ascii="Times New Roman" w:hAnsi="Times New Roman" w:cs="Times New Roman"/>
          <w:sz w:val="28"/>
          <w:szCs w:val="28"/>
          <w:lang w:val="uk-UA"/>
        </w:rPr>
        <w:t>их джерел</w:t>
      </w:r>
      <w:r w:rsidR="00B0261B" w:rsidRPr="00802C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37FB" w:rsidRDefault="00B0261B" w:rsidP="002C3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Наприкінці 90-х років ХХ століття садівництво </w:t>
      </w:r>
      <w:r w:rsidR="00640EC6">
        <w:rPr>
          <w:rFonts w:ascii="Times New Roman" w:hAnsi="Times New Roman" w:cs="Times New Roman"/>
          <w:sz w:val="28"/>
          <w:szCs w:val="28"/>
          <w:lang w:val="uk-UA"/>
        </w:rPr>
        <w:t>отримало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особливу </w:t>
      </w:r>
      <w:r w:rsidR="00640EC6">
        <w:rPr>
          <w:rFonts w:ascii="Times New Roman" w:hAnsi="Times New Roman" w:cs="Times New Roman"/>
          <w:sz w:val="28"/>
          <w:szCs w:val="28"/>
          <w:lang w:val="uk-UA"/>
        </w:rPr>
        <w:t>підтримку</w:t>
      </w:r>
      <w:r w:rsidR="00E7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EC6">
        <w:rPr>
          <w:rFonts w:ascii="Times New Roman" w:hAnsi="Times New Roman" w:cs="Times New Roman"/>
          <w:sz w:val="28"/>
          <w:szCs w:val="28"/>
          <w:lang w:val="uk-UA"/>
        </w:rPr>
        <w:t>з боку держави через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 w:rsidR="00640EC6">
        <w:rPr>
          <w:rFonts w:ascii="Times New Roman" w:hAnsi="Times New Roman" w:cs="Times New Roman"/>
          <w:sz w:val="28"/>
          <w:szCs w:val="28"/>
          <w:lang w:val="uk-UA"/>
        </w:rPr>
        <w:t xml:space="preserve">тя Верховною Радою 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України Закон</w:t>
      </w:r>
      <w:r w:rsidR="00640EC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7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EC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40EC6"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09.04.1999 р. 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«Про збір на розвиток виноградарства, садівництва та хмелярства» та Постанови Кабінету Міністрів України від 15.07.05 р. №587 «Про збір і використання коштів на розвиток виноградарств</w:t>
      </w:r>
      <w:r w:rsidR="00640E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, садівництв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і хмелярств</w:t>
      </w:r>
      <w:r w:rsidR="00640E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2C3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870"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Платниками збору є суб'єкти господарювання незалежно від форм власності 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50870" w:rsidRPr="00802CFF">
        <w:rPr>
          <w:rFonts w:ascii="Times New Roman" w:hAnsi="Times New Roman" w:cs="Times New Roman"/>
          <w:sz w:val="28"/>
          <w:szCs w:val="28"/>
          <w:lang w:val="uk-UA"/>
        </w:rPr>
        <w:t>підпорядкування, які реалізують алкогольні напої та пиво в оптовій та роздрібній торг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>івельних</w:t>
      </w:r>
      <w:r w:rsidR="00850870"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>ах. Збір</w:t>
      </w:r>
      <w:r w:rsidR="00850870"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станови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50870"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1% від виручки від реалізації цієї продукції. З 1 серпня 2011 року платники податку сплачують збір у роз</w:t>
      </w:r>
      <w:r w:rsidR="00E737FB">
        <w:rPr>
          <w:rFonts w:ascii="Times New Roman" w:hAnsi="Times New Roman" w:cs="Times New Roman"/>
          <w:sz w:val="28"/>
          <w:szCs w:val="28"/>
          <w:lang w:val="uk-UA"/>
        </w:rPr>
        <w:t>мірі 1,5% об’єкта оподаткування.</w:t>
      </w:r>
    </w:p>
    <w:p w:rsidR="00EA7588" w:rsidRPr="00802CFF" w:rsidRDefault="00EA7588" w:rsidP="00375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CFF">
        <w:rPr>
          <w:rFonts w:ascii="Times New Roman" w:hAnsi="Times New Roman" w:cs="Times New Roman"/>
          <w:sz w:val="28"/>
          <w:szCs w:val="28"/>
          <w:lang w:val="uk-UA"/>
        </w:rPr>
        <w:t>У 2009 році механізми державної фінансової підтримки були розширені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 xml:space="preserve">збільшено 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, що підлягають відшкодуванню, вклю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>чаючи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витрати на будівництво холодильників з регульован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газов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ємністю 500 тонн для зберігання столового винограду та домашніх фруктів. Збільшення рівня збору до 1,5% дозволило збільшити рівень відшкодування цих витрат, а</w:t>
      </w:r>
      <w:r w:rsidR="002C3A7C">
        <w:rPr>
          <w:rFonts w:ascii="Times New Roman" w:hAnsi="Times New Roman" w:cs="Times New Roman"/>
          <w:sz w:val="28"/>
          <w:szCs w:val="28"/>
          <w:lang w:val="uk-UA"/>
        </w:rPr>
        <w:t xml:space="preserve"> також надати галузі кошти на 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модернізаці</w:t>
      </w:r>
      <w:r w:rsidR="002C3A7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підприємств, що займаються вирощуванням плодів та ягід.</w:t>
      </w:r>
    </w:p>
    <w:p w:rsidR="008B3F17" w:rsidRPr="00802CFF" w:rsidRDefault="00CF2BA7" w:rsidP="002D4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CFF">
        <w:rPr>
          <w:rFonts w:ascii="Times New Roman" w:hAnsi="Times New Roman" w:cs="Times New Roman"/>
          <w:sz w:val="28"/>
          <w:szCs w:val="28"/>
          <w:lang w:val="uk-UA"/>
        </w:rPr>
        <w:lastRenderedPageBreak/>
        <w:t>У 2017 році було прийнято рішення щодо подальшої підтрим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 xml:space="preserve">ки галузі садівництва 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в рамках програми 2801350 «Державн</w:t>
      </w:r>
      <w:r w:rsidR="006E759F">
        <w:rPr>
          <w:rFonts w:ascii="Times New Roman" w:hAnsi="Times New Roman" w:cs="Times New Roman"/>
          <w:sz w:val="28"/>
          <w:szCs w:val="28"/>
          <w:lang w:val="uk-UA"/>
        </w:rPr>
        <w:t>а підтримка розвитку хмелярства, закладення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молодих садів, виноградників і ягідників та нагляд за </w:t>
      </w:r>
      <w:r w:rsidR="00B44AFA"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8B3F17" w:rsidRPr="00802CFF">
        <w:rPr>
          <w:rFonts w:ascii="Times New Roman" w:hAnsi="Times New Roman" w:cs="Times New Roman"/>
          <w:sz w:val="28"/>
          <w:szCs w:val="28"/>
          <w:lang w:val="uk-UA"/>
        </w:rPr>
        <w:t>Завдяки державній підтримці галузі садівничі господарства досягли успіху значно</w:t>
      </w:r>
      <w:r w:rsidR="00030CF3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8B3F17"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збільш</w:t>
      </w:r>
      <w:r w:rsidR="00030CF3">
        <w:rPr>
          <w:rFonts w:ascii="Times New Roman" w:hAnsi="Times New Roman" w:cs="Times New Roman"/>
          <w:sz w:val="28"/>
          <w:szCs w:val="28"/>
          <w:lang w:val="uk-UA"/>
        </w:rPr>
        <w:t>ення площ</w:t>
      </w:r>
      <w:r w:rsidR="008B3F17"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молодих садів і ягідників. Протягом 2017-2019 років </w:t>
      </w:r>
      <w:r w:rsidR="00030CF3">
        <w:rPr>
          <w:rFonts w:ascii="Times New Roman" w:hAnsi="Times New Roman" w:cs="Times New Roman"/>
          <w:sz w:val="28"/>
          <w:szCs w:val="28"/>
          <w:lang w:val="uk-UA"/>
        </w:rPr>
        <w:t>закладено</w:t>
      </w:r>
      <w:r w:rsidR="00E7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9FF">
        <w:rPr>
          <w:rFonts w:ascii="Times New Roman" w:hAnsi="Times New Roman" w:cs="Times New Roman"/>
          <w:sz w:val="28"/>
          <w:szCs w:val="28"/>
          <w:lang w:val="uk-UA"/>
        </w:rPr>
        <w:t>13,</w:t>
      </w:r>
      <w:r w:rsidR="008B3F17" w:rsidRPr="00802CFF">
        <w:rPr>
          <w:rFonts w:ascii="Times New Roman" w:hAnsi="Times New Roman" w:cs="Times New Roman"/>
          <w:sz w:val="28"/>
          <w:szCs w:val="28"/>
          <w:lang w:val="uk-UA"/>
        </w:rPr>
        <w:t>6 тис. га плодово-ягідних насаджень. П</w:t>
      </w:r>
      <w:r w:rsidR="00030CF3">
        <w:rPr>
          <w:rFonts w:ascii="Times New Roman" w:hAnsi="Times New Roman" w:cs="Times New Roman"/>
          <w:sz w:val="28"/>
          <w:szCs w:val="28"/>
          <w:lang w:val="uk-UA"/>
        </w:rPr>
        <w:t xml:space="preserve">роте, за словами </w:t>
      </w:r>
      <w:r w:rsidR="008B3F17"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І.А. Сало, відтворення багаторічних насаджень поки що недостатнє, </w:t>
      </w:r>
      <w:r w:rsidR="002C3A7C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 w:rsidR="008B3F17" w:rsidRPr="00802CFF">
        <w:rPr>
          <w:rFonts w:ascii="Times New Roman" w:hAnsi="Times New Roman" w:cs="Times New Roman"/>
          <w:sz w:val="28"/>
          <w:szCs w:val="28"/>
          <w:lang w:val="uk-UA"/>
        </w:rPr>
        <w:t>як площа вибуття старих насаджень майже вдвічі більша [</w:t>
      </w:r>
      <w:r w:rsidR="000679F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B3F17" w:rsidRPr="00802CFF">
        <w:rPr>
          <w:rFonts w:ascii="Times New Roman" w:hAnsi="Times New Roman" w:cs="Times New Roman"/>
          <w:sz w:val="28"/>
          <w:szCs w:val="28"/>
          <w:lang w:val="uk-UA"/>
        </w:rPr>
        <w:t>, с. 21–22].</w:t>
      </w:r>
    </w:p>
    <w:p w:rsidR="00B63867" w:rsidRDefault="00EA7422" w:rsidP="002D4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CFF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10.03.2021</w:t>
      </w:r>
      <w:r w:rsidR="00E7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C37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№ 185 «Про внесення змін до Порядку використання коштів, передбачених у державному бюджеті на розвиток виноградарства, садівництва і хмелярства» визначено механізм використання коштів, передбачених у д</w:t>
      </w:r>
      <w:r w:rsidR="00B63867">
        <w:rPr>
          <w:rFonts w:ascii="Times New Roman" w:hAnsi="Times New Roman" w:cs="Times New Roman"/>
          <w:sz w:val="28"/>
          <w:szCs w:val="28"/>
          <w:lang w:val="uk-UA"/>
        </w:rPr>
        <w:t>ержавному бюджеті за програмою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, яка використовуються для державної підтримки виробників плодів, ягід, винограду та хмелю.</w:t>
      </w:r>
      <w:r w:rsidR="002D4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867" w:rsidRPr="00B63867">
        <w:rPr>
          <w:rFonts w:ascii="Times New Roman" w:hAnsi="Times New Roman" w:cs="Times New Roman"/>
          <w:sz w:val="28"/>
          <w:szCs w:val="28"/>
          <w:lang w:val="uk-UA"/>
        </w:rPr>
        <w:t>Бюджетні кошти спрямовуються на державну підтримку виробників плодів, ягід, винограду та хмелю з метою стимулювання збільшення площ насаджень, обсягів виробництва плодово-ягідної продукції, винограду та хмелю, нарощування потужностей з їх зберігання та переробки.</w:t>
      </w:r>
    </w:p>
    <w:p w:rsidR="00174069" w:rsidRPr="00802CFF" w:rsidRDefault="00174069" w:rsidP="00E73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CFF">
        <w:rPr>
          <w:rFonts w:ascii="Times New Roman" w:hAnsi="Times New Roman" w:cs="Times New Roman"/>
          <w:sz w:val="28"/>
          <w:szCs w:val="28"/>
          <w:lang w:val="uk-UA"/>
        </w:rPr>
        <w:t>Відновлення в окремих галузях садівництва, н</w:t>
      </w:r>
      <w:r w:rsidR="00B63867">
        <w:rPr>
          <w:rFonts w:ascii="Times New Roman" w:hAnsi="Times New Roman" w:cs="Times New Roman"/>
          <w:sz w:val="28"/>
          <w:szCs w:val="28"/>
          <w:lang w:val="uk-UA"/>
        </w:rPr>
        <w:t xml:space="preserve">а нашу думку, можливе на основі </w:t>
      </w:r>
      <w:r w:rsidR="002C3A7C">
        <w:rPr>
          <w:rFonts w:ascii="Times New Roman" w:hAnsi="Times New Roman" w:cs="Times New Roman"/>
          <w:sz w:val="28"/>
          <w:szCs w:val="28"/>
          <w:lang w:val="uk-UA"/>
        </w:rPr>
        <w:t xml:space="preserve">угод 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про співпрацю різних учасників за моделлю державно-приватного партнерства. Такий досвід є в європейських країнах.</w:t>
      </w:r>
    </w:p>
    <w:p w:rsidR="00D048EC" w:rsidRDefault="00174069" w:rsidP="00B6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виконання </w:t>
      </w:r>
      <w:r w:rsidR="00D048EC" w:rsidRPr="00802CFF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048EC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="002C3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1 Указу Президента України від 19 березня 2021 р. №103 «Про Націонал</w:t>
      </w:r>
      <w:r w:rsidR="00D048EC">
        <w:rPr>
          <w:rFonts w:ascii="Times New Roman" w:hAnsi="Times New Roman" w:cs="Times New Roman"/>
          <w:sz w:val="28"/>
          <w:szCs w:val="28"/>
          <w:lang w:val="uk-UA"/>
        </w:rPr>
        <w:t xml:space="preserve">ьний </w:t>
      </w:r>
      <w:r w:rsidR="004C1800" w:rsidRPr="00802CFF">
        <w:rPr>
          <w:rFonts w:ascii="Times New Roman" w:hAnsi="Times New Roman" w:cs="Times New Roman"/>
          <w:sz w:val="28"/>
          <w:szCs w:val="28"/>
          <w:lang w:val="uk-UA"/>
        </w:rPr>
        <w:t>фонд</w:t>
      </w:r>
      <w:r w:rsidR="00D048EC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інвестицій» Кабінетом 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Міністрів України створено державне підприємс</w:t>
      </w:r>
      <w:r w:rsidR="00D048EC">
        <w:rPr>
          <w:rFonts w:ascii="Times New Roman" w:hAnsi="Times New Roman" w:cs="Times New Roman"/>
          <w:sz w:val="28"/>
          <w:szCs w:val="28"/>
          <w:lang w:val="uk-UA"/>
        </w:rPr>
        <w:t xml:space="preserve">тво «Національний 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фонд </w:t>
      </w:r>
      <w:r w:rsidR="00D048EC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 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Украї</w:t>
      </w:r>
      <w:r w:rsidR="00D048EC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» (постанова Кабінету Міністрів </w:t>
      </w:r>
      <w:r w:rsidR="004C1800" w:rsidRPr="00802CFF">
        <w:rPr>
          <w:rFonts w:ascii="Times New Roman" w:hAnsi="Times New Roman" w:cs="Times New Roman"/>
          <w:sz w:val="28"/>
          <w:szCs w:val="28"/>
          <w:lang w:val="uk-UA"/>
        </w:rPr>
        <w:t>України від 31 березня 2021</w:t>
      </w:r>
      <w:r w:rsidR="002C3A7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C1800"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р., 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№295). Відповідно до затвердженого стат</w:t>
      </w:r>
      <w:r w:rsidR="004C1800" w:rsidRPr="00802CFF">
        <w:rPr>
          <w:rFonts w:ascii="Times New Roman" w:hAnsi="Times New Roman" w:cs="Times New Roman"/>
          <w:sz w:val="28"/>
          <w:szCs w:val="28"/>
          <w:lang w:val="uk-UA"/>
        </w:rPr>
        <w:t>уту предметом діяльнос</w:t>
      </w:r>
      <w:r w:rsidR="00D048EC">
        <w:rPr>
          <w:rFonts w:ascii="Times New Roman" w:hAnsi="Times New Roman" w:cs="Times New Roman"/>
          <w:sz w:val="28"/>
          <w:szCs w:val="28"/>
          <w:lang w:val="uk-UA"/>
        </w:rPr>
        <w:t xml:space="preserve">ті Національного </w:t>
      </w:r>
      <w:r w:rsidR="004C1800" w:rsidRPr="00802CFF">
        <w:rPr>
          <w:rFonts w:ascii="Times New Roman" w:hAnsi="Times New Roman" w:cs="Times New Roman"/>
          <w:sz w:val="28"/>
          <w:szCs w:val="28"/>
          <w:lang w:val="uk-UA"/>
        </w:rPr>
        <w:t>фонду</w:t>
      </w:r>
      <w:r w:rsidR="00D048EC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 </w:t>
      </w:r>
      <w:r w:rsidR="002C3A7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048EC" w:rsidRPr="00D048EC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та концентрація фінансових ресурсів для реалізації інвестиційних проектів;  фінансування та реалізація пріоритетних інвестиційних проектів;  залучення інвестицій;  підготовка інвестиційних та інших проектів;  управління об’єктами власності відповідно </w:t>
      </w:r>
      <w:r w:rsidR="00D048EC" w:rsidRPr="00D048E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закону; утворення інвестиційних фондів, участь у інвестиційних фондах;  участь у спільній діяльності;  участь у соціально значущих проєктах</w:t>
      </w:r>
      <w:r w:rsidR="00D048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01F2" w:rsidRDefault="004C1800" w:rsidP="00FF3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CFF">
        <w:rPr>
          <w:rFonts w:ascii="Times New Roman" w:hAnsi="Times New Roman" w:cs="Times New Roman"/>
          <w:sz w:val="28"/>
          <w:szCs w:val="28"/>
          <w:lang w:val="uk-UA"/>
        </w:rPr>
        <w:t>Мазур К. пропонує</w:t>
      </w:r>
      <w:r w:rsidR="00D048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за сприяння Національного інвестиційного фонду України залучити приватні інвестиції в розвиток селекційної роботи на дослідних станціях Інституту садівництва НААН. Інвестор, що вкладає кошти в інвестиції селекційних робіт, матиме право спільно з І</w:t>
      </w:r>
      <w:r w:rsidR="00D05411">
        <w:rPr>
          <w:rFonts w:ascii="Times New Roman" w:hAnsi="Times New Roman" w:cs="Times New Roman"/>
          <w:sz w:val="28"/>
          <w:szCs w:val="28"/>
          <w:lang w:val="uk-UA"/>
        </w:rPr>
        <w:t>нститутом садівництва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 xml:space="preserve"> НААН використовувати відповідні патенти та отримувати адаптовані до вимог кожного потенційного інвестора саджа</w:t>
      </w:r>
      <w:r w:rsidR="00FF31E0">
        <w:rPr>
          <w:rFonts w:ascii="Times New Roman" w:hAnsi="Times New Roman" w:cs="Times New Roman"/>
          <w:sz w:val="28"/>
          <w:szCs w:val="28"/>
          <w:lang w:val="uk-UA"/>
        </w:rPr>
        <w:t>нці кісточкових культур</w:t>
      </w:r>
      <w:r w:rsidRPr="00802C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3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3D" w:rsidRPr="00802CF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679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4393D" w:rsidRPr="00802CFF">
        <w:rPr>
          <w:rFonts w:ascii="Times New Roman" w:hAnsi="Times New Roman" w:cs="Times New Roman"/>
          <w:sz w:val="28"/>
          <w:szCs w:val="28"/>
          <w:lang w:val="uk-UA"/>
        </w:rPr>
        <w:t>, с. 128]</w:t>
      </w:r>
    </w:p>
    <w:p w:rsidR="0024266F" w:rsidRDefault="0024266F" w:rsidP="00FF3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21 червня 2022 р. №738 «Деякі питання надання грантів бізнесу» затверджено порядок надання грантів для створення або розвитку садівництва, ягідництва та виноградарства за рахунок коштів резервного фонду державного бюджету.</w:t>
      </w:r>
    </w:p>
    <w:p w:rsidR="0024266F" w:rsidRPr="0024266F" w:rsidRDefault="0024266F" w:rsidP="00FF31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6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Гранти надаються для висадки та облаштування нового саду, ягіднику, в</w:t>
      </w:r>
      <w:r w:rsidR="002C3A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инограднику </w:t>
      </w:r>
      <w:r w:rsidRPr="002426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площею від 1 до 25 гектарів за умови співфінансування з отримувачем.  </w:t>
      </w:r>
      <w:r w:rsidRPr="0024266F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Станом на початок травня 2023 р. погоджено проектів надання грантів для створення або розвитку садівництва, ягідництва та виноградарства для 88 садівничих підприємств України на загальну суму 385213240 грн.</w:t>
      </w:r>
    </w:p>
    <w:p w:rsidR="002E556D" w:rsidRDefault="002E556D" w:rsidP="002E5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56D">
        <w:rPr>
          <w:rFonts w:ascii="Times New Roman" w:hAnsi="Times New Roman" w:cs="Times New Roman"/>
          <w:sz w:val="28"/>
          <w:szCs w:val="28"/>
          <w:lang w:val="uk-UA"/>
        </w:rPr>
        <w:t>Для  досягнення належного рівня забезпечення населення країни плодово-ягідною продукцією та нарощування експортного потенціалу галузі необхідна подальша фінансова підтримка цього сектору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E556D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Перспективною, на нашу думку, може бути реалізація різноманітних локальних проєктів за участю держави та органів місцевого самоврядування, спрямованих на розвиток малого бізнесу у плодово-ягідному виробництві.</w:t>
      </w:r>
    </w:p>
    <w:p w:rsidR="000679FF" w:rsidRPr="002D47B9" w:rsidRDefault="000679FF" w:rsidP="000679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4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Література:</w:t>
      </w:r>
    </w:p>
    <w:p w:rsidR="000679FF" w:rsidRPr="002D47B9" w:rsidRDefault="000679FF" w:rsidP="002D47B9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4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Сало І.А. Розвиток ринку плодів та ягід в Україні. </w:t>
      </w:r>
      <w:r w:rsidRPr="002D47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Економіка АПК.</w:t>
      </w:r>
      <w:r w:rsidRPr="002D4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2020. №3. С. 16–23.</w:t>
      </w:r>
    </w:p>
    <w:p w:rsidR="000679FF" w:rsidRPr="002D47B9" w:rsidRDefault="000679FF" w:rsidP="002D47B9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4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Мазур К. В., Легойда А. О. Дослідження стратегічних перспектив розвитку плодових культур в Україні. </w:t>
      </w:r>
      <w:r w:rsidRPr="002D47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Збірник наукових праць ТДАТУ імені Дмитра Моторного (економічні науки)</w:t>
      </w:r>
      <w:r w:rsidRPr="002D4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2021. №2 (44). С. 128</w:t>
      </w:r>
    </w:p>
    <w:sectPr w:rsidR="000679FF" w:rsidRPr="002D47B9" w:rsidSect="007F0D8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2D4" w:rsidRDefault="00BA52D4" w:rsidP="007F0D89">
      <w:pPr>
        <w:spacing w:after="0" w:line="240" w:lineRule="auto"/>
      </w:pPr>
      <w:r>
        <w:separator/>
      </w:r>
    </w:p>
  </w:endnote>
  <w:endnote w:type="continuationSeparator" w:id="1">
    <w:p w:rsidR="00BA52D4" w:rsidRDefault="00BA52D4" w:rsidP="007F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2D4" w:rsidRDefault="00BA52D4" w:rsidP="007F0D89">
      <w:pPr>
        <w:spacing w:after="0" w:line="240" w:lineRule="auto"/>
      </w:pPr>
      <w:r>
        <w:separator/>
      </w:r>
    </w:p>
  </w:footnote>
  <w:footnote w:type="continuationSeparator" w:id="1">
    <w:p w:rsidR="00BA52D4" w:rsidRDefault="00BA52D4" w:rsidP="007F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020"/>
      <w:docPartObj>
        <w:docPartGallery w:val="Page Numbers (Top of Page)"/>
        <w:docPartUnique/>
      </w:docPartObj>
    </w:sdtPr>
    <w:sdtContent>
      <w:p w:rsidR="007F0D89" w:rsidRDefault="007F0D89">
        <w:pPr>
          <w:pStyle w:val="a7"/>
          <w:jc w:val="right"/>
        </w:pPr>
        <w:fldSimple w:instr=" PAGE   \* MERGEFORMAT ">
          <w:r w:rsidR="002C3A7C">
            <w:rPr>
              <w:noProof/>
            </w:rPr>
            <w:t>3</w:t>
          </w:r>
        </w:fldSimple>
      </w:p>
    </w:sdtContent>
  </w:sdt>
  <w:p w:rsidR="007F0D89" w:rsidRDefault="007F0D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54A0"/>
    <w:multiLevelType w:val="hybridMultilevel"/>
    <w:tmpl w:val="8920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2CE"/>
    <w:rsid w:val="000239C5"/>
    <w:rsid w:val="00030CF3"/>
    <w:rsid w:val="00040A9E"/>
    <w:rsid w:val="0004393D"/>
    <w:rsid w:val="000534D4"/>
    <w:rsid w:val="000679FF"/>
    <w:rsid w:val="000E297F"/>
    <w:rsid w:val="001138FC"/>
    <w:rsid w:val="00124843"/>
    <w:rsid w:val="00134D28"/>
    <w:rsid w:val="00174069"/>
    <w:rsid w:val="00193B5B"/>
    <w:rsid w:val="001A27CA"/>
    <w:rsid w:val="001E12D3"/>
    <w:rsid w:val="00213609"/>
    <w:rsid w:val="0024266F"/>
    <w:rsid w:val="00251589"/>
    <w:rsid w:val="00253A56"/>
    <w:rsid w:val="00265B3F"/>
    <w:rsid w:val="002968F0"/>
    <w:rsid w:val="002A2EBA"/>
    <w:rsid w:val="002C3A7C"/>
    <w:rsid w:val="002D47B9"/>
    <w:rsid w:val="002E556D"/>
    <w:rsid w:val="00312B66"/>
    <w:rsid w:val="0033415D"/>
    <w:rsid w:val="00375D4D"/>
    <w:rsid w:val="003A6AD9"/>
    <w:rsid w:val="003E2739"/>
    <w:rsid w:val="00494D16"/>
    <w:rsid w:val="004A6A13"/>
    <w:rsid w:val="004A6DC2"/>
    <w:rsid w:val="004B16D3"/>
    <w:rsid w:val="004C1800"/>
    <w:rsid w:val="004C66A6"/>
    <w:rsid w:val="004F5238"/>
    <w:rsid w:val="005157CE"/>
    <w:rsid w:val="00520A2D"/>
    <w:rsid w:val="005B64C7"/>
    <w:rsid w:val="005C6ED4"/>
    <w:rsid w:val="006131B2"/>
    <w:rsid w:val="006278A6"/>
    <w:rsid w:val="00633AA6"/>
    <w:rsid w:val="00640EC6"/>
    <w:rsid w:val="006747F4"/>
    <w:rsid w:val="006D3985"/>
    <w:rsid w:val="006D4B20"/>
    <w:rsid w:val="006E759F"/>
    <w:rsid w:val="007243EA"/>
    <w:rsid w:val="00740403"/>
    <w:rsid w:val="007668DC"/>
    <w:rsid w:val="007916AC"/>
    <w:rsid w:val="007D4B21"/>
    <w:rsid w:val="007F0D89"/>
    <w:rsid w:val="00802CFF"/>
    <w:rsid w:val="0080608D"/>
    <w:rsid w:val="008141F2"/>
    <w:rsid w:val="00816895"/>
    <w:rsid w:val="00850870"/>
    <w:rsid w:val="00881888"/>
    <w:rsid w:val="008901F2"/>
    <w:rsid w:val="00897538"/>
    <w:rsid w:val="00897AA9"/>
    <w:rsid w:val="008B3F17"/>
    <w:rsid w:val="008B559A"/>
    <w:rsid w:val="008C198D"/>
    <w:rsid w:val="008E2753"/>
    <w:rsid w:val="0091766D"/>
    <w:rsid w:val="00946266"/>
    <w:rsid w:val="00992EB6"/>
    <w:rsid w:val="009C371B"/>
    <w:rsid w:val="009C52CE"/>
    <w:rsid w:val="00A00345"/>
    <w:rsid w:val="00A123E7"/>
    <w:rsid w:val="00A43E87"/>
    <w:rsid w:val="00A50D19"/>
    <w:rsid w:val="00A54DFB"/>
    <w:rsid w:val="00A65221"/>
    <w:rsid w:val="00A7511D"/>
    <w:rsid w:val="00AC73ED"/>
    <w:rsid w:val="00B0261B"/>
    <w:rsid w:val="00B41BE6"/>
    <w:rsid w:val="00B44AFA"/>
    <w:rsid w:val="00B63867"/>
    <w:rsid w:val="00B66E7C"/>
    <w:rsid w:val="00B954E8"/>
    <w:rsid w:val="00BA52D4"/>
    <w:rsid w:val="00BC3CE2"/>
    <w:rsid w:val="00BD1E1F"/>
    <w:rsid w:val="00BD76F3"/>
    <w:rsid w:val="00BE1681"/>
    <w:rsid w:val="00BF1FE0"/>
    <w:rsid w:val="00C41EBA"/>
    <w:rsid w:val="00C84017"/>
    <w:rsid w:val="00C973B3"/>
    <w:rsid w:val="00CD0448"/>
    <w:rsid w:val="00CF2BA7"/>
    <w:rsid w:val="00D048EC"/>
    <w:rsid w:val="00D05411"/>
    <w:rsid w:val="00D13070"/>
    <w:rsid w:val="00D209C8"/>
    <w:rsid w:val="00D762B2"/>
    <w:rsid w:val="00E25F18"/>
    <w:rsid w:val="00E737FB"/>
    <w:rsid w:val="00E80543"/>
    <w:rsid w:val="00E86374"/>
    <w:rsid w:val="00EA7422"/>
    <w:rsid w:val="00EA7588"/>
    <w:rsid w:val="00EB5AA0"/>
    <w:rsid w:val="00EE2C5B"/>
    <w:rsid w:val="00EE557C"/>
    <w:rsid w:val="00EF7C81"/>
    <w:rsid w:val="00F03C8B"/>
    <w:rsid w:val="00FF31E0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5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679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D89"/>
  </w:style>
  <w:style w:type="paragraph" w:styleId="a9">
    <w:name w:val="footer"/>
    <w:basedOn w:val="a"/>
    <w:link w:val="aa"/>
    <w:uiPriority w:val="99"/>
    <w:semiHidden/>
    <w:unhideWhenUsed/>
    <w:rsid w:val="007F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0D89"/>
  </w:style>
  <w:style w:type="character" w:styleId="ab">
    <w:name w:val="Strong"/>
    <w:basedOn w:val="a0"/>
    <w:uiPriority w:val="22"/>
    <w:qFormat/>
    <w:rsid w:val="0024266F"/>
    <w:rPr>
      <w:b/>
      <w:bCs/>
    </w:rPr>
  </w:style>
  <w:style w:type="paragraph" w:styleId="ac">
    <w:name w:val="Normal (Web)"/>
    <w:basedOn w:val="a"/>
    <w:uiPriority w:val="99"/>
    <w:unhideWhenUsed/>
    <w:rsid w:val="0024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6ED5-A731-45D3-9FF1-B4C6E5A4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2023-05-09T21:09:00Z</cp:lastPrinted>
  <dcterms:created xsi:type="dcterms:W3CDTF">2023-05-09T21:08:00Z</dcterms:created>
  <dcterms:modified xsi:type="dcterms:W3CDTF">2023-05-09T21:16:00Z</dcterms:modified>
</cp:coreProperties>
</file>