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C1" w:rsidRPr="008F17C6" w:rsidRDefault="00F00AC1" w:rsidP="00F00AC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F17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Ціжма Оксана Анатоліївна, </w:t>
      </w:r>
      <w:r w:rsidR="00EA747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</w:t>
      </w:r>
      <w:r w:rsidR="00EA7475" w:rsidRPr="008F17C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удовий експерт </w:t>
      </w:r>
      <w:r w:rsidR="00EA7475" w:rsidRPr="008F1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спеціальністю 12.1 – визначення вартості машин, обладнання, сировини та споживчих товарів </w:t>
      </w:r>
      <w:r w:rsidR="00EA7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Івано-Франківського відділення</w:t>
      </w:r>
      <w:r w:rsidR="00EA7475" w:rsidRPr="008F1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Київського науково-дослідного інституту судових експертиз Міністерства юстиції України</w:t>
      </w:r>
      <w:r w:rsidR="00EA7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A7475" w:rsidRPr="008F17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8F17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арший </w:t>
      </w:r>
      <w:r w:rsidRPr="008F17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адач кафедри підприємництва, торгівлі та прикладної економіки</w:t>
      </w:r>
      <w:r w:rsidRPr="008F17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8F17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Прикарпатський національний університет імені Василя Стефаника,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8F17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м. Івано-Франківськ,</w:t>
      </w:r>
    </w:p>
    <w:p w:rsidR="00F00AC1" w:rsidRDefault="00F00AC1" w:rsidP="00F00AC1">
      <w:pPr>
        <w:spacing w:after="0" w:line="240" w:lineRule="auto"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7C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ORCID</w:t>
      </w:r>
      <w:r w:rsidRPr="008F1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  </w:t>
      </w:r>
      <w:hyperlink r:id="rId5" w:history="1">
        <w:r w:rsidRPr="00F00A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https://orcid.org/0000-0003-2860-0449</w:t>
        </w:r>
      </w:hyperlink>
    </w:p>
    <w:p w:rsidR="00CE3441" w:rsidRPr="008F17C6" w:rsidRDefault="00CE3441" w:rsidP="00F00AC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F17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Ціжма Юрій Іванович, к</w:t>
      </w:r>
      <w:r w:rsidR="00B3304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андидат економічних наук</w:t>
      </w:r>
      <w:r w:rsidRPr="008F17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доцент</w:t>
      </w:r>
      <w:r w:rsidR="00B3304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кафедри підприємництва, торгівлі та прикладної економіки</w:t>
      </w:r>
      <w:r w:rsidRPr="008F17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8F17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8F17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Прикарпатський національний університет імені Василя Стефаника,</w:t>
      </w:r>
      <w:r w:rsidR="00B3304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8F17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м. Івано-Франківськ,</w:t>
      </w:r>
    </w:p>
    <w:p w:rsidR="00CE3441" w:rsidRPr="008F17C6" w:rsidRDefault="0008637C" w:rsidP="0008637C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F17C6">
        <w:rPr>
          <w:rStyle w:val="a3"/>
          <w:rFonts w:ascii="Times New Roman" w:hAnsi="Times New Roman" w:cs="Times New Roman"/>
          <w:b w:val="0"/>
          <w:color w:val="262626"/>
          <w:sz w:val="28"/>
          <w:szCs w:val="28"/>
          <w:shd w:val="clear" w:color="auto" w:fill="FFFFFF"/>
        </w:rPr>
        <w:t>ORCID</w:t>
      </w:r>
      <w:r w:rsidRPr="008F17C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6" w:history="1">
        <w:r w:rsidRPr="008F17C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https://orcid.org/0000-0002-0048-2236</w:t>
        </w:r>
      </w:hyperlink>
    </w:p>
    <w:p w:rsidR="0008637C" w:rsidRPr="008F17C6" w:rsidRDefault="0008637C" w:rsidP="0008637C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AD5930" w:rsidRPr="00AD5930" w:rsidRDefault="0008637C" w:rsidP="000863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AD593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СУДОВА ТОВАРОЗНАВЧА ЕКСПЕРТИЗА В КОНТЕКСТІ РОЗВИТКУ ІНФОРМАЦІЙНОГО СУСПІЛЬСТВА</w:t>
      </w:r>
    </w:p>
    <w:p w:rsidR="006E0314" w:rsidRDefault="00AD5930" w:rsidP="00B36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сучасному світі, що стрімко розвивається під впливом новітніх інформаційних технологій, поняття </w:t>
      </w:r>
      <w:r w:rsid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товар</w:t>
      </w:r>
      <w:r w:rsid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торговельні відносини</w:t>
      </w:r>
      <w:r w:rsid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зазнають кардинальних змін. Глобалізація економіки, </w:t>
      </w:r>
      <w:r w:rsid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масове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мережі Інтернет та бурхливий розвиток електронної комерції не лише спрощують доступ до товарів і послуг, а й створюють нові, часто складніші, виклики для правової системи. Від традиційних фізичних товарів ми переходимо до цифрових продуктів, послуг та віртуальних активів, що ускладнює їх ідентифікацію, оцінку та контроль. У цьому динамічному середовищі </w:t>
      </w:r>
      <w:r w:rsidRPr="006E03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судова товарознавча експертиза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відіграє критично важливу роль, стаючи ключовим інструментом для встановлення істини у спорах, пов'язаних з якістю, походженням, вартістю та іншими характеристиками товарів. Проте, традиційні методи та підходи до її проведення вимагають суттєвої адаптації до реалій </w:t>
      </w:r>
      <w:r w:rsidRPr="006E03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інформаційного суспільства</w:t>
      </w:r>
      <w:r w:rsidRPr="006E031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D5930" w:rsidRPr="00B367B0" w:rsidRDefault="00AD5930" w:rsidP="00B36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Інформаційне суспільство характеризується глобалізацією інформації, що означає швидкий та необмежений доступ до величезних масивів даних. </w:t>
      </w:r>
      <w:proofErr w:type="spellStart"/>
      <w:r w:rsidRPr="006E03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Цифровізація</w:t>
      </w:r>
      <w:proofErr w:type="spellEnd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проникла у всі сфери життя, перетворивши традиційні процеси на електронні, а також сприяла повсюдному поширенню </w:t>
      </w:r>
      <w:r w:rsidRPr="006E03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інформаційно-комунікаційних технологій (ІКТ)</w:t>
      </w:r>
      <w:r w:rsidRPr="006E03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Особливо помітним є бурхливий </w:t>
      </w:r>
      <w:r w:rsidRPr="006E03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розвиток електронної комерції</w:t>
      </w:r>
      <w:r w:rsidRPr="006E031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яка вже не є просто альтернативою традиційній торгівлі, а її невід'ємною та часто домінуючою частиною.</w:t>
      </w:r>
    </w:p>
    <w:p w:rsidR="00AD5930" w:rsidRPr="00B367B0" w:rsidRDefault="00AD5930" w:rsidP="00B36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Ці зміни мають колосальний вплив на товарний обіг. Ми спостерігаємо </w:t>
      </w:r>
      <w:r w:rsidR="006E0314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значне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03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зростання частки </w:t>
      </w:r>
      <w:proofErr w:type="spellStart"/>
      <w:r w:rsidRPr="006E03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онлайн-продажів</w:t>
      </w:r>
      <w:proofErr w:type="spellEnd"/>
      <w:r w:rsidRPr="006E031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здійснюваних через різноманітні платформи електронної комерції, такі як </w:t>
      </w:r>
      <w:proofErr w:type="spellStart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маркетплейси</w:t>
      </w:r>
      <w:proofErr w:type="spellEnd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6E031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нтернет-магазини</w:t>
      </w:r>
      <w:proofErr w:type="spellEnd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соціальні мережі [1]. Це призводить до розмивання географічних кордонів, адже споживач може придбати товар з будь-якої точки світу. Разом з тим, з'являються абсолютно </w:t>
      </w:r>
      <w:r w:rsidRPr="006E03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нові об'єкти цивільного обігу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не мають фізичного втілення: цифрові товари (електронні книги, музика, фільми, програмне забезпечення), </w:t>
      </w:r>
      <w:proofErr w:type="spellStart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онлайн-послуги</w:t>
      </w:r>
      <w:proofErr w:type="spellEnd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також віртуальні активи та </w:t>
      </w:r>
      <w:proofErr w:type="spellStart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криптовалюти</w:t>
      </w:r>
      <w:proofErr w:type="spellEnd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[2]. Крім того, </w:t>
      </w:r>
      <w:r w:rsidRPr="006E03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ускладнюються логістичні ланцюги та транскордонні операції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створює додаткові труднощі у відстеженні походження товару та його шляху до споживача. Важливою проблемою є також </w:t>
      </w:r>
      <w:r w:rsidRPr="006E03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ідентифікація продавця та автентичності товару в умовах анонімності мережі</w:t>
      </w:r>
      <w:r w:rsidRPr="006E031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часто використовується шахраями для реалізації фальсифікованої або неякісної продукції.</w:t>
      </w:r>
    </w:p>
    <w:p w:rsidR="00AD5930" w:rsidRPr="00C52FD8" w:rsidRDefault="00AD5930" w:rsidP="00C52F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Розвиток інформаційного суспільства безпосередньо впливає на те, що саме досліджує товарознавча експертиза та як вона це робить. Поряд з традиційними фізичними товарами, </w:t>
      </w:r>
      <w:r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новими об'єктами дослідження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стають:</w:t>
      </w:r>
      <w:r w:rsidR="006E03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52FD8" w:rsidRPr="00C52FD8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ифрові копії товарів</w:t>
      </w:r>
      <w:r w:rsidRPr="00C52F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електронні документи</w:t>
      </w:r>
      <w:r w:rsidRPr="00C52F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52FD8" w:rsidRPr="00C52FD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рограмне забезпечення</w:t>
      </w:r>
      <w:r w:rsidRPr="00C52F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52FD8" w:rsidRPr="00C52FD8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іртуальні товари та </w:t>
      </w:r>
      <w:proofErr w:type="spellStart"/>
      <w:r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внутрішньоігрові</w:t>
      </w:r>
      <w:proofErr w:type="spellEnd"/>
      <w:r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предмети</w:t>
      </w:r>
      <w:r w:rsidR="00C52FD8"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«р</w:t>
      </w:r>
      <w:r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озумні</w:t>
      </w:r>
      <w:r w:rsidR="00C52FD8"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пристрої (</w:t>
      </w:r>
      <w:proofErr w:type="spellStart"/>
      <w:r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IoT</w:t>
      </w:r>
      <w:proofErr w:type="spellEnd"/>
      <w:r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 Інтернет речей)</w:t>
      </w:r>
      <w:r w:rsidRPr="00C52FD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5930" w:rsidRPr="00B367B0" w:rsidRDefault="00AD5930" w:rsidP="00B36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відповідь на ці зміни відбувається </w:t>
      </w:r>
      <w:r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адаптація традиційних методів та поява нових</w:t>
      </w:r>
      <w:r w:rsidRPr="00C52FD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Сучасні експерти активно </w:t>
      </w:r>
      <w:r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використовують спеціалізоване програмне забезпечення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аналізу величезних масивів даних. Це може бути ПЗ для виявлення фальсифікату за штрих-кодом, аналізу динаміки цін на </w:t>
      </w:r>
      <w:proofErr w:type="spellStart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онлайн-майданчиках</w:t>
      </w:r>
      <w:proofErr w:type="spellEnd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визначення ринкової вартості, або ж для розшифровки інформації з </w:t>
      </w:r>
      <w:r w:rsidR="00C52FD8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розумних</w:t>
      </w:r>
      <w:r w:rsidR="00C52FD8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пристроїв. Все частіше застосовуються </w:t>
      </w:r>
      <w:r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дистанційні методи дослідження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такі як відеоконференції для попереднього огляду товару, віддалена </w:t>
      </w:r>
      <w:proofErr w:type="spellStart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фото-</w:t>
      </w:r>
      <w:proofErr w:type="spellEnd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відеофіксація</w:t>
      </w:r>
      <w:proofErr w:type="spellEnd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також аналіз електронних баз даних та реєстрів.</w:t>
      </w:r>
    </w:p>
    <w:p w:rsidR="00AD5930" w:rsidRPr="00B367B0" w:rsidRDefault="00AD5930" w:rsidP="00B36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роботі з електронними доказами особливо важливого значення набувають питання </w:t>
      </w:r>
      <w:r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інформаційної безпеки та </w:t>
      </w:r>
      <w:proofErr w:type="spellStart"/>
      <w:r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кібербезпеки</w:t>
      </w:r>
      <w:proofErr w:type="spellEnd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[3]. Експерт 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повинен бути впевнений у цілісності, достовірності та незмінності цифрових даних, які він використовує у своєму дослідженні. Це вимагає використання спеціальних протоколів фіксації, хешування даних та зберігання електронних доказів. </w:t>
      </w:r>
      <w:r w:rsidR="00C52FD8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Досить часто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виникає </w:t>
      </w:r>
      <w:r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необхідність залучення фахівців з </w:t>
      </w:r>
      <w:proofErr w:type="spellStart"/>
      <w:r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ІТ-сфери</w:t>
      </w:r>
      <w:proofErr w:type="spellEnd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(програмістів, фахівців з </w:t>
      </w:r>
      <w:proofErr w:type="spellStart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кібербезпеки</w:t>
      </w:r>
      <w:proofErr w:type="spellEnd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, цифрової криміналістики) для проведення комплексних експертиз, адже товарознавець сам по собі не завжди володіє достатніми знаннями для глибокого аналізу програмних кодів або цифрових слідів.</w:t>
      </w:r>
    </w:p>
    <w:p w:rsidR="00AD5930" w:rsidRPr="00B367B0" w:rsidRDefault="00AD5930" w:rsidP="00B36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Розвиток інформаційного суспільства ставить перед судовою товарознавчою експертизою низку серйозних </w:t>
      </w:r>
      <w:r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викликів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AD5930" w:rsidRPr="00C52FD8" w:rsidRDefault="00C52FD8" w:rsidP="00C52FD8">
      <w:pPr>
        <w:numPr>
          <w:ilvl w:val="0"/>
          <w:numId w:val="5"/>
        </w:numPr>
        <w:tabs>
          <w:tab w:val="clear" w:pos="720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ш</w:t>
      </w:r>
      <w:r w:rsidR="00AD5930"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видкість змін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AD5930" w:rsidRPr="00C52FD8" w:rsidRDefault="00C52FD8" w:rsidP="00C52FD8">
      <w:pPr>
        <w:numPr>
          <w:ilvl w:val="0"/>
          <w:numId w:val="5"/>
        </w:numPr>
        <w:tabs>
          <w:tab w:val="clear" w:pos="720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</w:t>
      </w:r>
      <w:r w:rsidR="00AD5930"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оступ до інформації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AD5930" w:rsidRPr="00C52FD8" w:rsidRDefault="00C52FD8" w:rsidP="00C52FD8">
      <w:pPr>
        <w:numPr>
          <w:ilvl w:val="0"/>
          <w:numId w:val="5"/>
        </w:numPr>
        <w:tabs>
          <w:tab w:val="clear" w:pos="720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</w:t>
      </w:r>
      <w:r w:rsidR="00AD5930"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роблеми автентичності та достовірності електронних доказів</w:t>
      </w:r>
      <w:r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[4];</w:t>
      </w:r>
    </w:p>
    <w:p w:rsidR="00AD5930" w:rsidRPr="00C52FD8" w:rsidRDefault="00C52FD8" w:rsidP="00C52FD8">
      <w:pPr>
        <w:numPr>
          <w:ilvl w:val="0"/>
          <w:numId w:val="5"/>
        </w:numPr>
        <w:tabs>
          <w:tab w:val="clear" w:pos="720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юридичне регулювання;</w:t>
      </w:r>
      <w:r w:rsidR="00AD5930" w:rsidRPr="00C52F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D5930" w:rsidRPr="00C52FD8" w:rsidRDefault="00C52FD8" w:rsidP="00C52FD8">
      <w:pPr>
        <w:numPr>
          <w:ilvl w:val="0"/>
          <w:numId w:val="5"/>
        </w:numPr>
        <w:tabs>
          <w:tab w:val="clear" w:pos="720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міжнародний аспект.</w:t>
      </w:r>
    </w:p>
    <w:p w:rsidR="00AD5930" w:rsidRPr="00B367B0" w:rsidRDefault="00AD5930" w:rsidP="00B36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Водночас, інформаційне суспільство відкриває значні </w:t>
      </w:r>
      <w:r w:rsidRPr="00C52F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перспективи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розвитку судової товарознавчої експертизи:</w:t>
      </w:r>
    </w:p>
    <w:p w:rsidR="00AD5930" w:rsidRPr="00B367B0" w:rsidRDefault="006E5277" w:rsidP="005C73B3">
      <w:pPr>
        <w:numPr>
          <w:ilvl w:val="0"/>
          <w:numId w:val="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73B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</w:t>
      </w:r>
      <w:r w:rsidR="00AD5930" w:rsidRPr="005C73B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провадження штучного інтелекту (ШІ) та машинного навчання</w:t>
      </w:r>
      <w:r w:rsidRPr="005C73B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</w:t>
      </w:r>
      <w:r w:rsidR="00AD5930"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AD5930"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значно автоматизувати рутинні операції, аналізувати величезні масиви даних (наприклад, тисячі фотографій товарів для виявлення відмінностей або мільйони цін для оцінки ринкової вартості), а також прогнозувати тенденції ринку [5]. ШІ може допомогти в ідентифікації фальсифікованих товарів, аналізі дефектів на зображеннях, або навіть у формуванні попередніх ви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сновків на основі наявних даних;</w:t>
      </w:r>
    </w:p>
    <w:p w:rsidR="00AD5930" w:rsidRPr="00B367B0" w:rsidRDefault="006E5277" w:rsidP="005C73B3">
      <w:pPr>
        <w:numPr>
          <w:ilvl w:val="0"/>
          <w:numId w:val="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C73B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</w:t>
      </w:r>
      <w:r w:rsidR="00AD5930" w:rsidRPr="005C73B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локчейн-технології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AD5930"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ть</w:t>
      </w:r>
      <w:r w:rsidR="00AD5930"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створювати незмінні та прозорі записи про ланцюг поставок, підтверджуючи автентичність товару та його походження від моменту виробництва до споживача. Це значно спрощує завдання експерта щодо вст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ановлення справжності продукції;</w:t>
      </w:r>
    </w:p>
    <w:p w:rsidR="00AD5930" w:rsidRPr="00B367B0" w:rsidRDefault="006E5277" w:rsidP="005C73B3">
      <w:pPr>
        <w:numPr>
          <w:ilvl w:val="0"/>
          <w:numId w:val="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73B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</w:t>
      </w:r>
      <w:r w:rsidR="00AD5930" w:rsidRPr="005C73B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озвиток спеціалізованого програмного забезпечення</w:t>
      </w:r>
      <w:r w:rsidRPr="005C73B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яке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AD5930"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дозволить проводити складні аналітичні дослідження, моделювати різні сценарії, автоматизувати розрахунки 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генерувати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візуалізовані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звіти;</w:t>
      </w:r>
    </w:p>
    <w:p w:rsidR="00AD5930" w:rsidRPr="00B367B0" w:rsidRDefault="006E5277" w:rsidP="005C73B3">
      <w:pPr>
        <w:numPr>
          <w:ilvl w:val="0"/>
          <w:numId w:val="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73B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</w:t>
      </w:r>
      <w:r w:rsidR="00AD5930" w:rsidRPr="005C73B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іждисциплінарний </w:t>
      </w:r>
      <w:r w:rsidRPr="005C73B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підхід передбачає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тісну</w:t>
      </w:r>
      <w:r w:rsidR="00AD5930"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співпрац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AD5930"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експертів-товарознавців з фахівцями з </w:t>
      </w:r>
      <w:proofErr w:type="spellStart"/>
      <w:r w:rsidR="00AD5930"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кібербезпеки</w:t>
      </w:r>
      <w:proofErr w:type="spellEnd"/>
      <w:r w:rsidR="00AD5930"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програмістами, фахівцями з цифрової криміналістики, інже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нерами та іншими спеціалістами, що </w:t>
      </w:r>
      <w:r w:rsidR="00AD5930"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ить</w:t>
      </w:r>
      <w:r w:rsidR="00AD5930"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здійснювати комплексний аналі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 складних об'єктів та обставин;</w:t>
      </w:r>
    </w:p>
    <w:p w:rsidR="00AD5930" w:rsidRPr="00B367B0" w:rsidRDefault="006E5277" w:rsidP="005C73B3">
      <w:pPr>
        <w:numPr>
          <w:ilvl w:val="0"/>
          <w:numId w:val="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73B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="00AD5930" w:rsidRPr="005C73B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ніфікація та стандартизація методик</w:t>
      </w:r>
      <w:r w:rsidRPr="005C73B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D5930"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дослідження цифрових товарів, електронних доказів та проведення експертиз у віртуальному середовищі є критично важливою для забезпечення єдності судової практики та підвищення достовірності експертних висновків.</w:t>
      </w:r>
    </w:p>
    <w:p w:rsidR="00AD5930" w:rsidRPr="00B367B0" w:rsidRDefault="00AD5930" w:rsidP="00B36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Розвиток інформаційного суспільства докорінно змінює ландшафт товарного обігу, трансформуючи його об'єкти, суб'єкти та механізми функціонування. Це, в свою чергу, ставить перед судовою товарознавчою експертизою нові, безпрецедентні виклики, які вимагають швидкої та ефективної адаптації. Від необхідності дослідження цифрових копій товарів до аналізу даних з </w:t>
      </w:r>
      <w:r w:rsidR="006E5277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розумних</w:t>
      </w:r>
      <w:r w:rsidR="006E527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пристроїв та боротьби з </w:t>
      </w:r>
      <w:proofErr w:type="spellStart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кібершахрайством</w:t>
      </w:r>
      <w:proofErr w:type="spellEnd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сфера діяльності експерта-товарознавця значно розширилася.</w:t>
      </w:r>
    </w:p>
    <w:p w:rsidR="00AD5930" w:rsidRPr="00B367B0" w:rsidRDefault="00AD5930" w:rsidP="00B36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Проте, попри складнощі, інформаційне суспільство відкриває й унікальні можливості для підвищення ефективності та точності судової експертизи. Інтеграція штучного інтелекту, </w:t>
      </w:r>
      <w:proofErr w:type="spellStart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блокчейн-технологій</w:t>
      </w:r>
      <w:proofErr w:type="spellEnd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спеціалізованого програмного забезпечення обіцяє автоматизацію рутинних процесів, підвищення точності аналізу та розширення аналітичних можливостей.</w:t>
      </w:r>
    </w:p>
    <w:p w:rsidR="00AD5930" w:rsidRPr="00B367B0" w:rsidRDefault="00AD5930" w:rsidP="00B36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успішного розвитку судової товарознавчої експертизи в умовах </w:t>
      </w:r>
      <w:proofErr w:type="spellStart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ключовими є кілька напрямків. По-перше, це </w:t>
      </w:r>
      <w:r w:rsidRPr="006E52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безперервний професійний розвиток експертів</w:t>
      </w:r>
      <w:r w:rsidRPr="006E527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їхнє опанування новітніми технологіями та методами роботи з цифровими доказами. По-друге, це </w:t>
      </w:r>
      <w:r w:rsidRPr="006E52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інтеграція сучасних технологій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експертну практику та використання міждисциплінарного підходу. І по-третє, це </w:t>
      </w:r>
      <w:r w:rsidRPr="006E52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адаптація законодавства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розробка уніфікованих методик, що забезпечать правову визначеність та надійність експертних висновків.</w:t>
      </w:r>
    </w:p>
    <w:p w:rsidR="00AD5930" w:rsidRPr="00B367B0" w:rsidRDefault="00AD5930" w:rsidP="00B36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Загалом, судова товарознавча експертиза є незамінним елементом у забезпеченні справедливого правосуддя в цифрову епоху. Її подальший розвиток та інтеграція з передовими технологіями дозволять ефективно вирішувати складні правові питання, пов'язані з товарами та послугами в інформаційному суспільстві, забезпечуючи захист прав споживачів та учасників ринку.</w:t>
      </w:r>
    </w:p>
    <w:p w:rsidR="00AD5930" w:rsidRPr="00B367B0" w:rsidRDefault="00AD5930" w:rsidP="000B25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25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Закон України </w:t>
      </w:r>
      <w:r w:rsidR="000B25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Pr="000B25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електронну комерцію</w:t>
      </w:r>
      <w:r w:rsidR="000B25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03.09.2015 № 675-VIII. URL: </w:t>
      </w:r>
      <w:hyperlink r:id="rId7" w:tgtFrame="_blank" w:history="1">
        <w:r w:rsidRPr="000B256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https://zakon.rada.gov.ua/laws/show/675-viii#Text</w:t>
        </w:r>
      </w:hyperlink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звернення: 0</w:t>
      </w:r>
      <w:r w:rsidR="000B256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.07.2025). </w:t>
      </w:r>
    </w:p>
    <w:p w:rsidR="00AD5930" w:rsidRPr="00B367B0" w:rsidRDefault="00AD5930" w:rsidP="000B25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25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Демченко М. В.</w:t>
      </w:r>
      <w:r w:rsidRPr="000B2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Цифрові активи як об'єкти цивільних прав: </w:t>
      </w:r>
      <w:proofErr w:type="spellStart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теоретико-правовий</w:t>
      </w:r>
      <w:proofErr w:type="spellEnd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аспект. </w:t>
      </w:r>
      <w:r w:rsidRPr="00B367B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Право і суспільство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B256F">
        <w:rPr>
          <w:rFonts w:ascii="Times New Roman" w:eastAsia="Times New Roman" w:hAnsi="Times New Roman" w:cs="Times New Roman"/>
          <w:sz w:val="28"/>
          <w:szCs w:val="28"/>
          <w:lang w:eastAsia="uk-UA"/>
        </w:rPr>
        <w:t>2020, №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2, </w:t>
      </w:r>
      <w:r w:rsidR="000B2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 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34-40.</w:t>
      </w:r>
    </w:p>
    <w:p w:rsidR="00B367B0" w:rsidRPr="00B367B0" w:rsidRDefault="00AD5930" w:rsidP="000B25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25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Коваль В. І.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Кібербезпека</w:t>
      </w:r>
      <w:proofErr w:type="spellEnd"/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діяльності судових експертів: сучасний стан та перспективи. </w:t>
      </w:r>
      <w:r w:rsidRPr="00B367B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Теорія та практика судової експертизи і криміналістики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B256F">
        <w:rPr>
          <w:rFonts w:ascii="Times New Roman" w:eastAsia="Times New Roman" w:hAnsi="Times New Roman" w:cs="Times New Roman"/>
          <w:sz w:val="28"/>
          <w:szCs w:val="28"/>
          <w:lang w:eastAsia="uk-UA"/>
        </w:rPr>
        <w:t>2019, № 19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B2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 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108-115.</w:t>
      </w:r>
    </w:p>
    <w:p w:rsidR="00AD5930" w:rsidRPr="00B367B0" w:rsidRDefault="00AD5930" w:rsidP="000B25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25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Петренко О. С.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Проблеми доказування та достовірності електронних доказів у кримінальному провадженні. </w:t>
      </w:r>
      <w:r w:rsidRPr="00B367B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Вісник кримінального судочинства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B2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2021, № 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3, </w:t>
      </w:r>
      <w:r w:rsidR="000B2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 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45-52. </w:t>
      </w:r>
    </w:p>
    <w:p w:rsidR="00AD5930" w:rsidRPr="00B367B0" w:rsidRDefault="00AD5930" w:rsidP="000B25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25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Іванов П. В.</w:t>
      </w:r>
      <w:r w:rsidRPr="000B2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Штучний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інтелект у судовій експертизі: можливості та обмеження. </w:t>
      </w:r>
      <w:r w:rsidRPr="00B367B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Судово-експертна діяльність: сучасний стан та перспективи розвитку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B256F">
        <w:rPr>
          <w:rFonts w:ascii="Times New Roman" w:eastAsia="Times New Roman" w:hAnsi="Times New Roman" w:cs="Times New Roman"/>
          <w:sz w:val="28"/>
          <w:szCs w:val="28"/>
          <w:lang w:eastAsia="uk-UA"/>
        </w:rPr>
        <w:t>2022, № 1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B2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 </w:t>
      </w:r>
      <w:r w:rsidRPr="00B367B0">
        <w:rPr>
          <w:rFonts w:ascii="Times New Roman" w:eastAsia="Times New Roman" w:hAnsi="Times New Roman" w:cs="Times New Roman"/>
          <w:sz w:val="28"/>
          <w:szCs w:val="28"/>
          <w:lang w:eastAsia="uk-UA"/>
        </w:rPr>
        <w:t>67-74.</w:t>
      </w:r>
    </w:p>
    <w:sectPr w:rsidR="00AD5930" w:rsidRPr="00B367B0" w:rsidSect="00380C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724C"/>
    <w:multiLevelType w:val="multilevel"/>
    <w:tmpl w:val="1BDE85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54552"/>
    <w:multiLevelType w:val="multilevel"/>
    <w:tmpl w:val="4D54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971BF"/>
    <w:multiLevelType w:val="multilevel"/>
    <w:tmpl w:val="F2D6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3016C3"/>
    <w:multiLevelType w:val="multilevel"/>
    <w:tmpl w:val="860A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26EE3"/>
    <w:multiLevelType w:val="multilevel"/>
    <w:tmpl w:val="91E818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5C78C6"/>
    <w:multiLevelType w:val="multilevel"/>
    <w:tmpl w:val="5150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4A08"/>
    <w:rsid w:val="00035AA5"/>
    <w:rsid w:val="0008637C"/>
    <w:rsid w:val="000B256F"/>
    <w:rsid w:val="00355128"/>
    <w:rsid w:val="00380C9F"/>
    <w:rsid w:val="004C0261"/>
    <w:rsid w:val="005C73B3"/>
    <w:rsid w:val="006E0314"/>
    <w:rsid w:val="006E5277"/>
    <w:rsid w:val="007A3B9C"/>
    <w:rsid w:val="008F17C6"/>
    <w:rsid w:val="00AD5930"/>
    <w:rsid w:val="00B3304E"/>
    <w:rsid w:val="00B367B0"/>
    <w:rsid w:val="00BF4A08"/>
    <w:rsid w:val="00C52FD8"/>
    <w:rsid w:val="00C75706"/>
    <w:rsid w:val="00CE3441"/>
    <w:rsid w:val="00EA7475"/>
    <w:rsid w:val="00F0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37C"/>
    <w:rPr>
      <w:b/>
      <w:bCs/>
    </w:rPr>
  </w:style>
  <w:style w:type="character" w:styleId="a4">
    <w:name w:val="Hyperlink"/>
    <w:basedOn w:val="a0"/>
    <w:uiPriority w:val="99"/>
    <w:unhideWhenUsed/>
    <w:rsid w:val="000863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https://zakon.rada.gov.ua/laws/show/675-viii%23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0048-2236" TargetMode="External"/><Relationship Id="rId5" Type="http://schemas.openxmlformats.org/officeDocument/2006/relationships/hyperlink" Target="https://orcid.org/0000-0003-2860-04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5838</Words>
  <Characters>3328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</dc:creator>
  <cp:keywords/>
  <dc:description/>
  <cp:lastModifiedBy>user</cp:lastModifiedBy>
  <cp:revision>7</cp:revision>
  <dcterms:created xsi:type="dcterms:W3CDTF">2025-07-08T20:48:00Z</dcterms:created>
  <dcterms:modified xsi:type="dcterms:W3CDTF">2025-07-09T06:57:00Z</dcterms:modified>
</cp:coreProperties>
</file>