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49" w:rsidRPr="002471DA" w:rsidRDefault="00894649" w:rsidP="0025720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Самофалова Т.О.</w:t>
      </w:r>
      <w:r w:rsidR="00832666">
        <w:rPr>
          <w:rFonts w:ascii="Times New Roman" w:hAnsi="Times New Roman" w:cs="Times New Roman"/>
          <w:b/>
          <w:i/>
          <w:sz w:val="28"/>
          <w:szCs w:val="24"/>
        </w:rPr>
        <w:t>,</w:t>
      </w:r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к. </w:t>
      </w:r>
      <w:proofErr w:type="spellStart"/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держ</w:t>
      </w:r>
      <w:proofErr w:type="spellEnd"/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. </w:t>
      </w:r>
      <w:proofErr w:type="spellStart"/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упр</w:t>
      </w:r>
      <w:proofErr w:type="spellEnd"/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., доцент</w:t>
      </w:r>
    </w:p>
    <w:p w:rsidR="00F10875" w:rsidRPr="002471DA" w:rsidRDefault="00257204" w:rsidP="008326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Бондар Тамара Василівна</w:t>
      </w:r>
      <w:r w:rsidR="00894649"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,</w:t>
      </w:r>
      <w:r w:rsidR="00F10875" w:rsidRPr="002471DA">
        <w:rPr>
          <w:b/>
          <w:i/>
          <w:sz w:val="28"/>
          <w:szCs w:val="24"/>
        </w:rPr>
        <w:t xml:space="preserve"> </w:t>
      </w:r>
      <w:r w:rsidR="00F10875"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здобувач освітнього ступеня «бакалавр»</w:t>
      </w:r>
    </w:p>
    <w:p w:rsidR="00F10875" w:rsidRPr="002471DA" w:rsidRDefault="00F10875" w:rsidP="008326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Харківський національний університет імені В. Н. Каразіна</w:t>
      </w:r>
    </w:p>
    <w:p w:rsidR="00F10875" w:rsidRPr="002471DA" w:rsidRDefault="00F10875" w:rsidP="008326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2471DA">
        <w:rPr>
          <w:rFonts w:ascii="Times New Roman" w:hAnsi="Times New Roman" w:cs="Times New Roman"/>
          <w:b/>
          <w:i/>
          <w:sz w:val="28"/>
          <w:szCs w:val="24"/>
          <w:lang w:val="uk-UA"/>
        </w:rPr>
        <w:t>м. Харків</w:t>
      </w:r>
    </w:p>
    <w:p w:rsidR="0050798B" w:rsidRDefault="00257204" w:rsidP="002572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257204">
        <w:rPr>
          <w:rFonts w:ascii="Times New Roman" w:hAnsi="Times New Roman" w:cs="Times New Roman"/>
          <w:sz w:val="28"/>
          <w:szCs w:val="24"/>
        </w:rPr>
        <w:t>ORCID</w:t>
      </w:r>
      <w:r>
        <w:rPr>
          <w:rFonts w:ascii="Times New Roman" w:hAnsi="Times New Roman" w:cs="Times New Roman"/>
          <w:sz w:val="28"/>
          <w:szCs w:val="24"/>
          <w:lang w:val="uk-UA"/>
        </w:rPr>
        <w:t>:</w:t>
      </w:r>
      <w:r w:rsidRPr="00257204">
        <w:t xml:space="preserve"> </w:t>
      </w:r>
      <w:r w:rsidRPr="00257204">
        <w:rPr>
          <w:rFonts w:ascii="Times New Roman" w:hAnsi="Times New Roman" w:cs="Times New Roman"/>
          <w:sz w:val="28"/>
          <w:szCs w:val="24"/>
          <w:lang w:val="uk-UA"/>
        </w:rPr>
        <w:t>0009-0007-5308-8527</w:t>
      </w:r>
    </w:p>
    <w:p w:rsidR="00257204" w:rsidRPr="00257204" w:rsidRDefault="00257204" w:rsidP="002572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  <w:lang w:val="uk-UA"/>
        </w:rPr>
      </w:pPr>
    </w:p>
    <w:p w:rsidR="00AB5B9E" w:rsidRPr="00AB5B9E" w:rsidRDefault="00AB5B9E" w:rsidP="00AB5B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5B9E">
        <w:rPr>
          <w:rFonts w:ascii="Times New Roman" w:hAnsi="Times New Roman" w:cs="Times New Roman"/>
          <w:sz w:val="28"/>
          <w:szCs w:val="24"/>
        </w:rPr>
        <w:t>ВПЛИВ ДЕЦЕНТРАЛІЗАЦІЇ НА СТАЛИЙ РОЗВИТОК ТЕРИТОРІЙ</w:t>
      </w:r>
    </w:p>
    <w:p w:rsidR="00AB5B9E" w:rsidRDefault="00AB5B9E" w:rsidP="00507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Децентралізація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реформа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самоврядування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є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важливим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чинником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сталого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розвитку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територій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Україні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Формування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спроможних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територіальних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(ТГ)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істотно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трансформувало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структуру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управління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заклавши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підґрунтя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для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зростання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економічної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соціальної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стабільності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місцях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Зміни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адміністративно-територіальному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устрої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зокрема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через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укрупнення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сприяли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ефективнішому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використанню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ресурсів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розвитку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інфраструктури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а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також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активізації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економічної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діяльності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Зарубіжний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досвід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підтверджує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децентралізація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має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позитивний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вплив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стратегічне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планування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підвищення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якості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публічних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послуг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економічне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зростання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країнах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Європейського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Союзу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принцип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субсидіарності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дозволяє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ефективно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розподіляти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повноваження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між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рівнями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управління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підвищує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спроможність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самостійно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вирішувати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актуальні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питання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[4].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Український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досвід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також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демонструє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після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формування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ТГ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спостерігається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зростання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фінансової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самостійності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кращий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доступ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сучасних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технологій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активізація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інвестиційної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діяльності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зміцнення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інфраструктурної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бази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Серед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ключових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змін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спричинених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децентралізацією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варто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відзначити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розширення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фінансових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можливостей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зокрема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через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передачу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частини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податкових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надходжень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),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зростання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автономії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органів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самоврядування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посилення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інституційної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спроможності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вирішувати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проблеми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Органи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влади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все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частіше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впроваджують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нові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підходи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планування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розвитку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реалізують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інфраструктурні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проєкти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залучають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мешканців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процесів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lastRenderedPageBreak/>
        <w:t>прийняття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рішень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Особлива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увага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приділяється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підвищенню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якості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життя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дотриманню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екологічних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стандартів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розширенню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доступу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цифрових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сервісів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798B">
        <w:rPr>
          <w:rFonts w:ascii="Times New Roman" w:hAnsi="Times New Roman" w:cs="Times New Roman"/>
          <w:sz w:val="28"/>
          <w:szCs w:val="24"/>
        </w:rPr>
        <w:t xml:space="preserve">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цьому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контексті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особливої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актуальності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набуває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цифровізація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управлінських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процесів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рівні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Використання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державних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онлайн-сервісів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зокрема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мобільного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застосунку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Дія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»,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спрощує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доступ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громадян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адміністративних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послуг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підвищує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прозорість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ухвалення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рішень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і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сприяє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ефективнішій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взаємодії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між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владою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мешканцями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Цифрові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інструменти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також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дозволяють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автоматизувати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частину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бюджетних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процесів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полегшити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податковий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облік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і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забезпечити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більш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відкриту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звітність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органів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самоврядування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[5].</w:t>
      </w: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0798B">
        <w:rPr>
          <w:rFonts w:ascii="Times New Roman" w:hAnsi="Times New Roman" w:cs="Times New Roman"/>
          <w:sz w:val="28"/>
          <w:szCs w:val="24"/>
        </w:rPr>
        <w:t xml:space="preserve">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науковій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літературі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спроможність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влади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класифікується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трьома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видами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потенційна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відповідає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перспективному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плану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формування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),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юридично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визнана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визначається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законодавчо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відповідно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статті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9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Закону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України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добровільне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об’єднання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територіальних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»)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реальна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оцінюється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операційними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показниками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діяльності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ТГ) [3].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Практика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свідчить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найбільш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ефективно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функціонують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утворені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навколо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населених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пунктів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із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розвиненою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інфраструктурою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адміністративними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функціями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той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же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час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сільські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стикаються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з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труднощами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забезпеченні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фінансової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стабільності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належного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рівня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послуг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Одним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із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важливих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етапів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формуванні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потенційної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ТГ є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попередній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аналіз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фінансових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можливостей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території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Такий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підхід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дає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змогу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визначити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переваги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й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ризики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укрупнення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оцінити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потребу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зовнішньому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фінансуванні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розробити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стратегії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оптимізації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бюджету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50798B" w:rsidRP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Суттєвий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внесок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підтримку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реформи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здійснюють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Регіональні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центри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розвитку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самоврядування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створені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межах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міжнародної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програми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«U-LEAD з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Європою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».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Завдяки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інструментам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зокрема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Калькулятору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фінансової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спроможності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перспективної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ТГ»,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органи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влади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отримують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можливість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lastRenderedPageBreak/>
        <w:t>точніше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прогнозувати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доходи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оптимізувати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витрати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й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забезпечувати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сталий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розвиток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Отже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процес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децентралізації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Україні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виступає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одним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із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головних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чинників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трансформації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системи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публічного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управління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Завдяки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реформі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місцеві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громади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отримали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реальні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важелі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впливу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розвиток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своїх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територій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підсумку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сприяє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економічному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зростанню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зниженню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соціальної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напруги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та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підвищенню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якості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життя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0798B">
        <w:rPr>
          <w:rFonts w:ascii="Times New Roman" w:hAnsi="Times New Roman" w:cs="Times New Roman"/>
          <w:sz w:val="28"/>
          <w:szCs w:val="24"/>
        </w:rPr>
        <w:t>населення</w:t>
      </w:r>
      <w:proofErr w:type="spellEnd"/>
      <w:r w:rsidRPr="0050798B">
        <w:rPr>
          <w:rFonts w:ascii="Times New Roman" w:hAnsi="Times New Roman" w:cs="Times New Roman"/>
          <w:sz w:val="28"/>
          <w:szCs w:val="24"/>
        </w:rPr>
        <w:t>.</w:t>
      </w:r>
    </w:p>
    <w:p w:rsidR="00257204" w:rsidRPr="0050798B" w:rsidRDefault="00257204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0798B" w:rsidRPr="0013289F" w:rsidRDefault="0050798B" w:rsidP="0050798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289F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>:</w:t>
      </w:r>
    </w:p>
    <w:p w:rsidR="0050798B" w:rsidRPr="0013289F" w:rsidRDefault="0050798B" w:rsidP="005079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Децентралізація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289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роб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. / В. С. </w:t>
      </w:r>
      <w:proofErr w:type="spellStart"/>
      <w:proofErr w:type="gramStart"/>
      <w:r w:rsidRPr="0013289F">
        <w:rPr>
          <w:rFonts w:ascii="Times New Roman" w:hAnsi="Times New Roman" w:cs="Times New Roman"/>
          <w:sz w:val="24"/>
          <w:szCs w:val="24"/>
        </w:rPr>
        <w:t>Лесюк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3289F">
        <w:rPr>
          <w:rFonts w:ascii="Times New Roman" w:hAnsi="Times New Roman" w:cs="Times New Roman"/>
          <w:sz w:val="24"/>
          <w:szCs w:val="24"/>
        </w:rPr>
        <w:t>к :</w:t>
      </w:r>
      <w:proofErr w:type="gram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Калініченко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>. – К.: ПДАА, 2017. – 41 с. [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доступу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new" w:history="1">
        <w:r w:rsidRPr="0013289F">
          <w:rPr>
            <w:rStyle w:val="a3"/>
            <w:rFonts w:ascii="Times New Roman" w:hAnsi="Times New Roman" w:cs="Times New Roman"/>
            <w:sz w:val="24"/>
            <w:szCs w:val="24"/>
          </w:rPr>
          <w:t>http://www.oblrada.pl.ua/uploads/lstud/2017/07.pdf</w:t>
        </w:r>
      </w:hyperlink>
    </w:p>
    <w:p w:rsidR="0050798B" w:rsidRPr="0013289F" w:rsidRDefault="0050798B" w:rsidP="005079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добровільне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територіальних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громад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05.02.2015 р., №157-VIII. [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доступу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new" w:history="1">
        <w:r w:rsidRPr="0013289F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https://zakon.rada.gov.ua/laws/show/157-19</w:t>
        </w:r>
      </w:hyperlink>
    </w:p>
    <w:p w:rsidR="0050798B" w:rsidRPr="0013289F" w:rsidRDefault="0050798B" w:rsidP="005079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Прокопенко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Л. Л.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Союзу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/ Л. Л.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Прокопенко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>. – 2015. – № 4. – С. 93–101. – [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доступу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tgtFrame="_new" w:history="1">
        <w:r w:rsidRPr="0013289F">
          <w:rPr>
            <w:rStyle w:val="a3"/>
            <w:rFonts w:ascii="Times New Roman" w:hAnsi="Times New Roman" w:cs="Times New Roman"/>
            <w:sz w:val="24"/>
            <w:szCs w:val="24"/>
          </w:rPr>
          <w:t>http://nbuv.gov.ua/UJRN/aplup_2015_4_14</w:t>
        </w:r>
      </w:hyperlink>
    </w:p>
    <w:p w:rsidR="00257204" w:rsidRPr="00257204" w:rsidRDefault="0050798B" w:rsidP="002572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субсидіарності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в ЄС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децентралізованого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>. – [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доступу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57204" w:rsidRPr="00601ABE">
          <w:rPr>
            <w:rStyle w:val="a3"/>
            <w:rFonts w:ascii="Times New Roman" w:hAnsi="Times New Roman" w:cs="Times New Roman"/>
            <w:sz w:val="24"/>
            <w:szCs w:val="24"/>
          </w:rPr>
          <w:t>https://decentralization.gov.ua/news/</w:t>
        </w:r>
      </w:hyperlink>
      <w:r w:rsidR="002572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798B" w:rsidRPr="0013289F" w:rsidRDefault="0050798B" w:rsidP="0050798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Портал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>» – [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ресурс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89F">
        <w:rPr>
          <w:rFonts w:ascii="Times New Roman" w:hAnsi="Times New Roman" w:cs="Times New Roman"/>
          <w:sz w:val="24"/>
          <w:szCs w:val="24"/>
        </w:rPr>
        <w:t>доступу</w:t>
      </w:r>
      <w:proofErr w:type="spellEnd"/>
      <w:r w:rsidRPr="0013289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new" w:history="1">
        <w:r w:rsidRPr="0013289F">
          <w:rPr>
            <w:rStyle w:val="a3"/>
            <w:rFonts w:ascii="Times New Roman" w:hAnsi="Times New Roman" w:cs="Times New Roman"/>
            <w:sz w:val="24"/>
            <w:szCs w:val="24"/>
          </w:rPr>
          <w:t>https://diia.gov.ua/</w:t>
        </w:r>
      </w:hyperlink>
    </w:p>
    <w:p w:rsidR="0050798B" w:rsidRDefault="0050798B" w:rsidP="005079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41FDD" w:rsidRPr="00986989" w:rsidRDefault="00841FDD" w:rsidP="00B94A16">
      <w:pPr>
        <w:spacing w:line="360" w:lineRule="auto"/>
      </w:pPr>
      <w:bookmarkStart w:id="0" w:name="_GoBack"/>
      <w:bookmarkEnd w:id="0"/>
    </w:p>
    <w:sectPr w:rsidR="00841FDD" w:rsidRPr="009869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B64"/>
    <w:multiLevelType w:val="multilevel"/>
    <w:tmpl w:val="FE4A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D07BF"/>
    <w:multiLevelType w:val="multilevel"/>
    <w:tmpl w:val="D468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E5003"/>
    <w:multiLevelType w:val="multilevel"/>
    <w:tmpl w:val="FE4A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E555F"/>
    <w:multiLevelType w:val="multilevel"/>
    <w:tmpl w:val="FE4A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C"/>
    <w:rsid w:val="0013289F"/>
    <w:rsid w:val="002471DA"/>
    <w:rsid w:val="00257204"/>
    <w:rsid w:val="00370507"/>
    <w:rsid w:val="0050798B"/>
    <w:rsid w:val="00591CE9"/>
    <w:rsid w:val="00643FEF"/>
    <w:rsid w:val="00832666"/>
    <w:rsid w:val="00841FDD"/>
    <w:rsid w:val="00894649"/>
    <w:rsid w:val="00986989"/>
    <w:rsid w:val="00A42DEE"/>
    <w:rsid w:val="00AB5B9E"/>
    <w:rsid w:val="00AE74FB"/>
    <w:rsid w:val="00AF0E93"/>
    <w:rsid w:val="00B94A16"/>
    <w:rsid w:val="00CF2D31"/>
    <w:rsid w:val="00DE6191"/>
    <w:rsid w:val="00E151CA"/>
    <w:rsid w:val="00E41E2C"/>
    <w:rsid w:val="00EA38C5"/>
    <w:rsid w:val="00F10875"/>
    <w:rsid w:val="00F34451"/>
    <w:rsid w:val="00F4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13E0"/>
  <w15:chartTrackingRefBased/>
  <w15:docId w15:val="{D103D698-09F8-4AAA-BD16-6F10DF5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entralization.gov.ua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UJRN/aplup_2015_4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7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lrada.pl.ua/uploads/lstud/2017/0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i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toma.bondar.22@gmail.com</dc:creator>
  <cp:keywords/>
  <dc:description/>
  <cp:lastModifiedBy>toma.bondar.22@gmail.com</cp:lastModifiedBy>
  <cp:revision>3</cp:revision>
  <dcterms:created xsi:type="dcterms:W3CDTF">2025-05-11T01:15:00Z</dcterms:created>
  <dcterms:modified xsi:type="dcterms:W3CDTF">2025-05-11T02:00:00Z</dcterms:modified>
</cp:coreProperties>
</file>