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5C781" w14:textId="031ABBD6" w:rsidR="005E6627" w:rsidRDefault="005E6627" w:rsidP="00060080">
      <w:pPr>
        <w:spacing w:after="0" w:line="360" w:lineRule="auto"/>
      </w:pPr>
      <w:r>
        <w:rPr>
          <w:b/>
          <w:bCs/>
        </w:rPr>
        <w:t xml:space="preserve">                                                                                  </w:t>
      </w:r>
      <w:r w:rsidR="004C29D4">
        <w:rPr>
          <w:b/>
          <w:bCs/>
        </w:rPr>
        <w:t xml:space="preserve">   </w:t>
      </w:r>
      <w:r>
        <w:t>Боковня Артем Андрійови</w:t>
      </w:r>
      <w:r w:rsidR="004C29D4">
        <w:t>ч,</w:t>
      </w:r>
    </w:p>
    <w:p w14:paraId="6761E9B1" w14:textId="433E9899" w:rsidR="005E6627" w:rsidRDefault="005E6627" w:rsidP="00060080">
      <w:pPr>
        <w:spacing w:after="0" w:line="360" w:lineRule="auto"/>
      </w:pPr>
      <w:r>
        <w:t xml:space="preserve">                                        здобувач першого(бакалаврського) рівня вищої освіти,</w:t>
      </w:r>
    </w:p>
    <w:p w14:paraId="34D774D9" w14:textId="5429A151" w:rsidR="005E6627" w:rsidRDefault="00413921" w:rsidP="00060080">
      <w:pPr>
        <w:spacing w:after="0" w:line="360" w:lineRule="auto"/>
      </w:pPr>
      <w:r>
        <w:t xml:space="preserve">                                                                     </w:t>
      </w:r>
      <w:r w:rsidR="005E6627">
        <w:t>спеціальність 293 Міжнародне право,</w:t>
      </w:r>
    </w:p>
    <w:p w14:paraId="5AE4B1D1" w14:textId="1CFA3226" w:rsidR="005E6627" w:rsidRDefault="00413921" w:rsidP="00060080">
      <w:pPr>
        <w:spacing w:after="0" w:line="360" w:lineRule="auto"/>
      </w:pPr>
      <w:r>
        <w:t xml:space="preserve">                                                                    </w:t>
      </w:r>
      <w:r w:rsidR="005E6627">
        <w:t>Національний авіаційний університет,</w:t>
      </w:r>
    </w:p>
    <w:p w14:paraId="7CF5DA54" w14:textId="0331B9E7" w:rsidR="005E6627" w:rsidRPr="00413921" w:rsidRDefault="00413921" w:rsidP="00060080">
      <w:pPr>
        <w:spacing w:after="0" w:line="360" w:lineRule="auto"/>
      </w:pPr>
      <w:r>
        <w:t xml:space="preserve">                                                                                              </w:t>
      </w:r>
      <w:hyperlink r:id="rId4" w:history="1">
        <w:r w:rsidRPr="004861B7">
          <w:rPr>
            <w:rStyle w:val="a3"/>
            <w:lang w:val="en-US"/>
          </w:rPr>
          <w:t>artem</w:t>
        </w:r>
        <w:r w:rsidRPr="004861B7">
          <w:rPr>
            <w:rStyle w:val="a3"/>
          </w:rPr>
          <w:t>.</w:t>
        </w:r>
        <w:r w:rsidRPr="004861B7">
          <w:rPr>
            <w:rStyle w:val="a3"/>
            <w:lang w:val="en-US"/>
          </w:rPr>
          <w:t>bv</w:t>
        </w:r>
        <w:r w:rsidRPr="004861B7">
          <w:rPr>
            <w:rStyle w:val="a3"/>
          </w:rPr>
          <w:t>21@</w:t>
        </w:r>
        <w:r w:rsidRPr="004861B7">
          <w:rPr>
            <w:rStyle w:val="a3"/>
            <w:lang w:val="en-US"/>
          </w:rPr>
          <w:t>gmail</w:t>
        </w:r>
        <w:r w:rsidRPr="004861B7">
          <w:rPr>
            <w:rStyle w:val="a3"/>
          </w:rPr>
          <w:t>.</w:t>
        </w:r>
        <w:r w:rsidRPr="004861B7">
          <w:rPr>
            <w:rStyle w:val="a3"/>
            <w:lang w:val="en-US"/>
          </w:rPr>
          <w:t>com</w:t>
        </w:r>
      </w:hyperlink>
    </w:p>
    <w:p w14:paraId="1113E032" w14:textId="4AD8E11B" w:rsidR="00413921" w:rsidRDefault="00413921" w:rsidP="00060080">
      <w:pPr>
        <w:spacing w:after="0" w:line="360" w:lineRule="auto"/>
      </w:pPr>
      <w:r>
        <w:t xml:space="preserve">                                                                                                    Науковий керівник-</w:t>
      </w:r>
    </w:p>
    <w:p w14:paraId="163292C8" w14:textId="2D165FE1" w:rsidR="00413921" w:rsidRDefault="00413921" w:rsidP="00060080">
      <w:pPr>
        <w:spacing w:after="0" w:line="360" w:lineRule="auto"/>
      </w:pPr>
      <w:r>
        <w:t xml:space="preserve">                                                         зав. кафедри міжнародного та європейського</w:t>
      </w:r>
    </w:p>
    <w:p w14:paraId="424FD150" w14:textId="1BA06218" w:rsidR="00413921" w:rsidRPr="00413921" w:rsidRDefault="00413921" w:rsidP="00060080">
      <w:pPr>
        <w:spacing w:after="0" w:line="360" w:lineRule="auto"/>
      </w:pPr>
      <w:r>
        <w:t xml:space="preserve">                                                                        права Максимович Роман Олегович</w:t>
      </w:r>
    </w:p>
    <w:p w14:paraId="05802EE2" w14:textId="77777777" w:rsidR="005E6627" w:rsidRDefault="005E6627" w:rsidP="00060080">
      <w:pPr>
        <w:spacing w:after="0" w:line="360" w:lineRule="auto"/>
        <w:rPr>
          <w:b/>
          <w:bCs/>
        </w:rPr>
      </w:pPr>
    </w:p>
    <w:p w14:paraId="7CD31F7A" w14:textId="77777777" w:rsidR="00413921" w:rsidRDefault="004A1E59" w:rsidP="00060080">
      <w:pPr>
        <w:spacing w:after="0" w:line="360" w:lineRule="auto"/>
        <w:rPr>
          <w:b/>
          <w:bCs/>
        </w:rPr>
      </w:pPr>
      <w:r w:rsidRPr="00DE203F">
        <w:rPr>
          <w:b/>
          <w:bCs/>
        </w:rPr>
        <w:t xml:space="preserve"> </w:t>
      </w:r>
      <w:r w:rsidR="00413921">
        <w:rPr>
          <w:b/>
          <w:bCs/>
        </w:rPr>
        <w:t xml:space="preserve">  </w:t>
      </w:r>
    </w:p>
    <w:p w14:paraId="1058F61E" w14:textId="77777777" w:rsidR="000877AD" w:rsidRDefault="000877AD" w:rsidP="000877AD">
      <w:pPr>
        <w:spacing w:after="0"/>
        <w:rPr>
          <w:b/>
          <w:bCs/>
        </w:rPr>
      </w:pPr>
    </w:p>
    <w:p w14:paraId="7F86F499" w14:textId="5DB614A5" w:rsidR="000877AD" w:rsidRDefault="004A1E59" w:rsidP="000877AD">
      <w:pPr>
        <w:spacing w:after="0"/>
        <w:rPr>
          <w:b/>
          <w:bCs/>
          <w:szCs w:val="28"/>
        </w:rPr>
      </w:pPr>
      <w:r w:rsidRPr="000877AD">
        <w:rPr>
          <w:b/>
          <w:bCs/>
          <w:szCs w:val="28"/>
        </w:rPr>
        <w:t>В</w:t>
      </w:r>
      <w:r w:rsidR="000877AD">
        <w:rPr>
          <w:b/>
          <w:bCs/>
          <w:szCs w:val="28"/>
        </w:rPr>
        <w:t>ПЛИВ</w:t>
      </w:r>
      <w:r w:rsidRPr="000877AD">
        <w:rPr>
          <w:b/>
          <w:bCs/>
          <w:szCs w:val="28"/>
        </w:rPr>
        <w:t xml:space="preserve"> </w:t>
      </w:r>
      <w:r w:rsidR="000877AD">
        <w:rPr>
          <w:b/>
          <w:bCs/>
          <w:szCs w:val="28"/>
        </w:rPr>
        <w:t>ЦИФРОВОЇ</w:t>
      </w:r>
      <w:r w:rsidRPr="000877AD">
        <w:rPr>
          <w:b/>
          <w:bCs/>
          <w:szCs w:val="28"/>
        </w:rPr>
        <w:t xml:space="preserve"> </w:t>
      </w:r>
      <w:r w:rsidR="000877AD">
        <w:rPr>
          <w:b/>
          <w:bCs/>
          <w:szCs w:val="28"/>
        </w:rPr>
        <w:t>ТОРГІВЛІ</w:t>
      </w:r>
      <w:r w:rsidRPr="000877AD">
        <w:rPr>
          <w:b/>
          <w:bCs/>
          <w:szCs w:val="28"/>
        </w:rPr>
        <w:t xml:space="preserve"> </w:t>
      </w:r>
      <w:r w:rsidR="000877AD">
        <w:rPr>
          <w:b/>
          <w:bCs/>
          <w:szCs w:val="28"/>
        </w:rPr>
        <w:t>НА</w:t>
      </w:r>
      <w:r w:rsidRPr="000877AD">
        <w:rPr>
          <w:b/>
          <w:bCs/>
          <w:szCs w:val="28"/>
        </w:rPr>
        <w:t xml:space="preserve"> </w:t>
      </w:r>
      <w:r w:rsidR="000877AD">
        <w:rPr>
          <w:b/>
          <w:bCs/>
          <w:szCs w:val="28"/>
        </w:rPr>
        <w:t>РОЗВИТОК</w:t>
      </w:r>
      <w:r w:rsidRPr="000877AD">
        <w:rPr>
          <w:b/>
          <w:bCs/>
          <w:szCs w:val="28"/>
        </w:rPr>
        <w:t xml:space="preserve"> </w:t>
      </w:r>
      <w:r w:rsidR="000877AD">
        <w:rPr>
          <w:b/>
          <w:bCs/>
          <w:szCs w:val="28"/>
        </w:rPr>
        <w:t xml:space="preserve">МІЖНАРОДНОГО        ЕКОНОМІЧНОГО ПРАВА: ВИКЛИКИ ТА ПЕРСПЕКТИВИ </w:t>
      </w:r>
    </w:p>
    <w:p w14:paraId="3D5DC8AE" w14:textId="51E2A955" w:rsidR="004A1E59" w:rsidRPr="000877AD" w:rsidRDefault="005E6627" w:rsidP="000877AD">
      <w:pPr>
        <w:spacing w:after="0"/>
        <w:rPr>
          <w:sz w:val="24"/>
          <w:szCs w:val="20"/>
        </w:rPr>
      </w:pPr>
      <w:r w:rsidRPr="000877AD">
        <w:rPr>
          <w:b/>
          <w:bCs/>
          <w:szCs w:val="28"/>
        </w:rPr>
        <w:t xml:space="preserve">                                                                                                                                                                                                                                             </w:t>
      </w:r>
      <w:r w:rsidR="00413921" w:rsidRPr="000877AD">
        <w:rPr>
          <w:b/>
          <w:bCs/>
          <w:szCs w:val="28"/>
        </w:rPr>
        <w:t xml:space="preserve">                                               </w:t>
      </w:r>
    </w:p>
    <w:p w14:paraId="4EF395C4" w14:textId="67C88FD8" w:rsidR="003C0313" w:rsidRPr="000E3A57" w:rsidRDefault="003C0313" w:rsidP="00CA348A">
      <w:pPr>
        <w:spacing w:after="0"/>
      </w:pPr>
      <w:r w:rsidRPr="003C0313">
        <w:t>Бурхливий розвиток цифрової торгівлі суттєво змінив глобальну економіку, створюючи як великі можливості, так і складні виклики для міжнародного економічного права. Проводячи дослідження впливу цифрової торгівлі на розвиток міжнародного економічного права, аналізуючи поточні правові рамки, визначаючи ключові виклики та оцінюючи майбутні перспективи, прагн</w:t>
      </w:r>
      <w:r w:rsidR="005E6627">
        <w:t xml:space="preserve">учи </w:t>
      </w:r>
      <w:r w:rsidRPr="003C0313">
        <w:t>зрозуміти, як правові системи адаптуються до вимог цифрової економіки та пропону</w:t>
      </w:r>
      <w:r w:rsidR="005E6627">
        <w:t>ючи</w:t>
      </w:r>
      <w:r w:rsidRPr="003C0313">
        <w:t xml:space="preserve"> шляхи вдосконалення правової інфраструктури для підтримки стійкої та інклюзивної цифрової торгівлі. Цифрова революція масивно змінила торгівлю, забезпечуючи небачені рівні зв'язку, ефективності та інновацій.</w:t>
      </w:r>
    </w:p>
    <w:p w14:paraId="4516E0B2" w14:textId="60AC3D9B" w:rsidR="003C0313" w:rsidRPr="000E3A57" w:rsidRDefault="003C0313" w:rsidP="00CA348A">
      <w:pPr>
        <w:spacing w:after="0"/>
      </w:pPr>
      <w:r w:rsidRPr="000E3A57">
        <w:t xml:space="preserve">         </w:t>
      </w:r>
      <w:r w:rsidR="00626D15">
        <w:t xml:space="preserve"> </w:t>
      </w:r>
      <w:r w:rsidRPr="003C0313">
        <w:t xml:space="preserve"> Цифрова торгівля охоплює обмін товарів та послуг, який здійснюється за допомогою цифрових технологій, таких як електронна комерція, цифрові сервіси та потоки даних. Зростаюча важливість цифрової торгівлі як драйвера економічного розвитку та глобалізації вимагає перегляду існуючих міжнародних економічних законів. Еволюція цифрової торгівлі охоплює купівлю та продаж товарів і послуг через цифрові канали, такі як онлайн-платформи, електронні платіжні системи та передача даних. Вона виходить за межі електронної комерції, включаючи цифрові послуги та транскордонні потоки даних, що робить її важливою та динамічною складовою глобальної економіки. Цифрова економіка стрімко розвивається, та значно впливає на світовий ВВП. Цифрова торгівля спрощує доступ до міжнародних ринків, зменшуючи витрати на транзакції та сприяє інноваціям. Розповсюдження цифрових платформ дозволяє малим і середнім підприємствам брати участь у світовій торгівлі, що підвищує економічну </w:t>
      </w:r>
      <w:proofErr w:type="spellStart"/>
      <w:r w:rsidRPr="003C0313">
        <w:t>інклюзивність</w:t>
      </w:r>
      <w:proofErr w:type="spellEnd"/>
      <w:r w:rsidRPr="003C0313">
        <w:t>.</w:t>
      </w:r>
      <w:r w:rsidR="00A042C9">
        <w:t xml:space="preserve">          </w:t>
      </w:r>
    </w:p>
    <w:p w14:paraId="6D5EF376" w14:textId="6D81753D" w:rsidR="004A1E59" w:rsidRDefault="003C0313" w:rsidP="00CA348A">
      <w:pPr>
        <w:spacing w:after="0"/>
      </w:pPr>
      <w:r w:rsidRPr="000E3A57">
        <w:t xml:space="preserve">             </w:t>
      </w:r>
      <w:r w:rsidR="00A042C9">
        <w:t xml:space="preserve"> </w:t>
      </w:r>
      <w:r w:rsidR="008B2610" w:rsidRPr="008B2610">
        <w:t xml:space="preserve">Цифрова торгівля допомагає підприємствам будь-якого розміру легко залучати міжнародних клієнтів, знищуючи традиційні перешкоди для виходу </w:t>
      </w:r>
      <w:r w:rsidR="008B2610" w:rsidRPr="008B2610">
        <w:lastRenderedPageBreak/>
        <w:t>на ринок. Це сприяє більшій економічній інтеграції, оскільки компанії з різних регіонів можуть здійснювати транскордонні операції. Простота цифрових транзакцій сприяє створенню глобальних ланцюгів постачання, що поглиблює взаємодію між економіками.</w:t>
      </w:r>
      <w:r w:rsidR="007B7A0F">
        <w:t>.</w:t>
      </w:r>
    </w:p>
    <w:p w14:paraId="22C61A80" w14:textId="6710398F" w:rsidR="008B2610" w:rsidRPr="000E3A57" w:rsidRDefault="00626D15" w:rsidP="00CA348A">
      <w:pPr>
        <w:spacing w:after="0"/>
      </w:pPr>
      <w:r>
        <w:t xml:space="preserve">             </w:t>
      </w:r>
      <w:r w:rsidR="008B2610" w:rsidRPr="008B2610">
        <w:t>Цифрова комерція має значний вплив на ринки праці, оскільки вона створює нові можливості для працевлаштування, але вимагає здобуття нових навичок. Зростає потреба у цифрових навичках, таких як програмування, аналіз даних і цифровий маркетинг, що призводить до змін у освітніх і навчальних програмах. Однак, перехід до цифрової економіки створює свої виклики, такі як зміна робочих місць у традиційних галузях промисловості та необхідність у добре розробленій політиці ринку праці.</w:t>
      </w:r>
    </w:p>
    <w:p w14:paraId="1CA00000" w14:textId="747CFEE2" w:rsidR="0004247F" w:rsidRDefault="00E17B1E" w:rsidP="00CA348A">
      <w:pPr>
        <w:spacing w:after="0"/>
      </w:pPr>
      <w:r>
        <w:t xml:space="preserve">          </w:t>
      </w:r>
      <w:r w:rsidR="00626D15">
        <w:t xml:space="preserve">  </w:t>
      </w:r>
      <w:r>
        <w:t xml:space="preserve"> В правових рамках закріплюються о</w:t>
      </w:r>
      <w:r w:rsidR="0004247F" w:rsidRPr="0004247F">
        <w:t xml:space="preserve">сновні міжнародні угоди, такі як Генеральна угода про торгівлю послугами (GATS) і регіональні торгові угоди (RTA), </w:t>
      </w:r>
      <w:r w:rsidRPr="0004247F">
        <w:t>налагоджують</w:t>
      </w:r>
      <w:r w:rsidR="0004247F" w:rsidRPr="0004247F">
        <w:t xml:space="preserve"> різні </w:t>
      </w:r>
      <w:r w:rsidRPr="0004247F">
        <w:t>площин</w:t>
      </w:r>
      <w:r>
        <w:t>и</w:t>
      </w:r>
      <w:r w:rsidR="0004247F" w:rsidRPr="0004247F">
        <w:t xml:space="preserve"> цифрової торгівлі. </w:t>
      </w:r>
      <w:r w:rsidRPr="0004247F">
        <w:t>Втім</w:t>
      </w:r>
      <w:r w:rsidR="0004247F" w:rsidRPr="0004247F">
        <w:t xml:space="preserve">, ці угоди </w:t>
      </w:r>
      <w:r w:rsidRPr="0004247F">
        <w:t>неодноразово</w:t>
      </w:r>
      <w:r w:rsidR="0004247F" w:rsidRPr="0004247F">
        <w:t xml:space="preserve"> не враховують </w:t>
      </w:r>
      <w:r w:rsidRPr="0004247F">
        <w:t>особливі</w:t>
      </w:r>
      <w:r w:rsidR="0004247F" w:rsidRPr="0004247F">
        <w:t xml:space="preserve"> характеристики цифрової комерції, які </w:t>
      </w:r>
      <w:r w:rsidRPr="0004247F">
        <w:t>постають</w:t>
      </w:r>
      <w:r w:rsidR="0004247F" w:rsidRPr="0004247F">
        <w:t xml:space="preserve"> через нормативні прогалини та неясності. ГАТС, яка була створена в </w:t>
      </w:r>
      <w:r w:rsidRPr="0004247F">
        <w:t>межах</w:t>
      </w:r>
      <w:r w:rsidR="0004247F" w:rsidRPr="0004247F">
        <w:t xml:space="preserve"> СОТ, </w:t>
      </w:r>
      <w:r w:rsidRPr="0004247F">
        <w:t>формує</w:t>
      </w:r>
      <w:r w:rsidR="0004247F" w:rsidRPr="0004247F">
        <w:t xml:space="preserve"> основу для регулювання міжнародної торгівлі послугами, </w:t>
      </w:r>
      <w:r w:rsidRPr="0004247F">
        <w:t>залучаючи</w:t>
      </w:r>
      <w:r w:rsidR="0004247F" w:rsidRPr="0004247F">
        <w:t xml:space="preserve"> доставку за допомогою цифрових засобів, але </w:t>
      </w:r>
      <w:r w:rsidRPr="0004247F">
        <w:t>норми</w:t>
      </w:r>
      <w:r w:rsidR="0004247F" w:rsidRPr="0004247F">
        <w:t xml:space="preserve"> були розроблені до появи цифрової торгівлі та потоків інформації між цифровими службами та електронною поштою. Тому для підтримки GATS у цифрову епоху необхідне значне оновлення.</w:t>
      </w:r>
    </w:p>
    <w:p w14:paraId="571E0C65" w14:textId="430662FC" w:rsidR="004A1E59" w:rsidRDefault="00E17B1E" w:rsidP="00CA348A">
      <w:pPr>
        <w:spacing w:after="0"/>
      </w:pPr>
      <w:r>
        <w:t xml:space="preserve">         </w:t>
      </w:r>
      <w:r w:rsidR="00626D15">
        <w:t xml:space="preserve">   </w:t>
      </w:r>
      <w:r>
        <w:t xml:space="preserve"> </w:t>
      </w:r>
      <w:r w:rsidR="004D3CF6" w:rsidRPr="004D3CF6">
        <w:t xml:space="preserve">Регіональні торгові угоди, такі як Комплексна і прогресивна домовленість про </w:t>
      </w:r>
      <w:proofErr w:type="spellStart"/>
      <w:r w:rsidR="004D3CF6" w:rsidRPr="004D3CF6">
        <w:t>транстихоокеанське</w:t>
      </w:r>
      <w:proofErr w:type="spellEnd"/>
      <w:r w:rsidR="004D3CF6" w:rsidRPr="004D3CF6">
        <w:t xml:space="preserve"> партнерство (CPTPP) та Угода між США, Мексикою та Канадою (USMCA), включають розділи, що стосуються цифрової торгівлі та електронної комерції. Ці угоди містять конкретні положення щодо захисту даних, транскордонних потоків даних та цифрових послуг, встановлюючи прецеденти для майбутніх міжнародних переговорів. Однак, охоплення та суворість цих положень різняться, що призводить до непослідовності в регуляторному середовищі. Країни використовують різні підходи до регулювання цифрової торгівлі, відображаючи різницю в економічних пріоритетах, правових традиціях та рівні розвитку цифрових технологій. Національні регуляції часто охоплюють захист даних, </w:t>
      </w:r>
      <w:proofErr w:type="spellStart"/>
      <w:r w:rsidR="004D3CF6" w:rsidRPr="004D3CF6">
        <w:t>кібербезпеку</w:t>
      </w:r>
      <w:proofErr w:type="spellEnd"/>
      <w:r w:rsidR="004D3CF6" w:rsidRPr="004D3CF6">
        <w:t xml:space="preserve">, права інтелектуальної власності та захист прав споживачів, створюючи складне правове середовище для міжнародної цифрової торгівлі. Закони про захист даних, такі як Загальний регламент захисту даних Європейського Союзу (GDPR), встановлюють суворі вимоги щодо обробки персональних даних, що впливає на бізнеси, що займаються цифровою торгівлею. Ці закони спрямовані на захист </w:t>
      </w:r>
      <w:proofErr w:type="spellStart"/>
      <w:r w:rsidR="004D3CF6" w:rsidRPr="004D3CF6">
        <w:t>приватності</w:t>
      </w:r>
      <w:proofErr w:type="spellEnd"/>
      <w:r w:rsidR="004D3CF6" w:rsidRPr="004D3CF6">
        <w:t>, але можуть створювати виклики для компаній, що діють у кількох юрисдикціях, щодо дотримання вимог.</w:t>
      </w:r>
      <w:r w:rsidR="004A1E59">
        <w:t>.</w:t>
      </w:r>
    </w:p>
    <w:p w14:paraId="242D1655" w14:textId="7816515C" w:rsidR="004A1E59" w:rsidRPr="004D3CF6" w:rsidRDefault="004D3CF6" w:rsidP="00CA348A">
      <w:pPr>
        <w:spacing w:after="0"/>
      </w:pPr>
      <w:r w:rsidRPr="004D3CF6">
        <w:rPr>
          <w:lang w:val="ru-RU"/>
        </w:rPr>
        <w:t xml:space="preserve">    </w:t>
      </w:r>
      <w:r w:rsidR="00626D15">
        <w:rPr>
          <w:lang w:val="ru-RU"/>
        </w:rPr>
        <w:t xml:space="preserve">    </w:t>
      </w:r>
      <w:r w:rsidRPr="004D3CF6">
        <w:rPr>
          <w:lang w:val="ru-RU"/>
        </w:rPr>
        <w:t xml:space="preserve">  </w:t>
      </w:r>
      <w:r w:rsidRPr="004D3CF6">
        <w:t xml:space="preserve">Регуляції з </w:t>
      </w:r>
      <w:proofErr w:type="spellStart"/>
      <w:r w:rsidRPr="004D3CF6">
        <w:t>кібербезпеки</w:t>
      </w:r>
      <w:proofErr w:type="spellEnd"/>
      <w:r w:rsidRPr="004D3CF6">
        <w:t xml:space="preserve"> спрямовані на захист цифрової інфраструктури та </w:t>
      </w:r>
      <w:r w:rsidRPr="004D3CF6">
        <w:rPr>
          <w:lang w:val="ru-RU"/>
        </w:rPr>
        <w:t xml:space="preserve"> </w:t>
      </w:r>
      <w:r w:rsidRPr="004D3CF6">
        <w:t xml:space="preserve">даних від </w:t>
      </w:r>
      <w:proofErr w:type="spellStart"/>
      <w:r w:rsidRPr="004D3CF6">
        <w:t>кіберзагроз</w:t>
      </w:r>
      <w:proofErr w:type="spellEnd"/>
      <w:r w:rsidRPr="004D3CF6">
        <w:t xml:space="preserve">. Різні країни вводять заходи </w:t>
      </w:r>
      <w:proofErr w:type="spellStart"/>
      <w:r w:rsidRPr="004D3CF6">
        <w:t>кібербезпеки</w:t>
      </w:r>
      <w:proofErr w:type="spellEnd"/>
      <w:r w:rsidRPr="004D3CF6">
        <w:t xml:space="preserve">, такі як обов'язкове повідомлення про порушення даних та захист критичної інфраструктури. Ефективна </w:t>
      </w:r>
      <w:proofErr w:type="spellStart"/>
      <w:r w:rsidRPr="004D3CF6">
        <w:t>кібербезпека</w:t>
      </w:r>
      <w:proofErr w:type="spellEnd"/>
      <w:r w:rsidRPr="004D3CF6">
        <w:t xml:space="preserve"> є важливою для підтримання довіри </w:t>
      </w:r>
      <w:r w:rsidRPr="004D3CF6">
        <w:lastRenderedPageBreak/>
        <w:t xml:space="preserve">до цифрової торгівлі, але потребує міжнародної співпраці для вирішення транскордонних загроз.  </w:t>
      </w:r>
    </w:p>
    <w:p w14:paraId="187A607B" w14:textId="3B5A1975" w:rsidR="004D3CF6" w:rsidRPr="000E3A57" w:rsidRDefault="00626D15" w:rsidP="00CA348A">
      <w:pPr>
        <w:spacing w:after="0"/>
        <w:rPr>
          <w:lang w:val="ru-RU"/>
        </w:rPr>
      </w:pPr>
      <w:r>
        <w:t xml:space="preserve">          </w:t>
      </w:r>
      <w:r w:rsidR="004D3CF6" w:rsidRPr="004D3CF6">
        <w:t>Країни вдосконалюють свої законодавчі акти щодо авторських прав, патентів та товарних знаків, спрямовуючи їх на цифрову сферу, а також укладають міжнародні угоди для стандартизації правових норм у цифровому середовищі. Закони, що стосуються захисту прав споживачів, мають велике значення для цифрової торгівлі, оскільки вони забезпечують довіру споживачів до онлайн-покупок та електронних послуг. Ці закони встановлюють права споживачів щодо повернення товарів, захисту персональних даних та правдивої реклами. Проте, часто виникають проблеми відповідності різним національним стандартам, що може ускладнити міжнародну торгівлю.</w:t>
      </w:r>
      <w:r w:rsidR="0025317E" w:rsidRPr="004D3CF6">
        <w:rPr>
          <w:lang w:val="ru-RU"/>
        </w:rPr>
        <w:t xml:space="preserve">                                    </w:t>
      </w:r>
    </w:p>
    <w:p w14:paraId="367D00F8" w14:textId="77777777" w:rsidR="004D3CF6" w:rsidRPr="000E3A57" w:rsidRDefault="004D3CF6" w:rsidP="00CA348A">
      <w:pPr>
        <w:spacing w:after="0"/>
        <w:rPr>
          <w:lang w:val="ru-RU"/>
        </w:rPr>
      </w:pPr>
      <w:r w:rsidRPr="000E3A57">
        <w:rPr>
          <w:lang w:val="ru-RU"/>
        </w:rPr>
        <w:t xml:space="preserve">                                 </w:t>
      </w:r>
    </w:p>
    <w:p w14:paraId="36C20709" w14:textId="09E8FC35" w:rsidR="007635E7" w:rsidRPr="004D3CF6" w:rsidRDefault="004D3CF6" w:rsidP="00CA348A">
      <w:pPr>
        <w:spacing w:after="0"/>
        <w:rPr>
          <w:b/>
          <w:bCs/>
          <w:lang w:val="ru-RU"/>
        </w:rPr>
      </w:pPr>
      <w:r w:rsidRPr="000E3A57">
        <w:rPr>
          <w:lang w:val="ru-RU"/>
        </w:rPr>
        <w:t xml:space="preserve">               </w:t>
      </w:r>
      <w:r w:rsidR="0025317E" w:rsidRPr="004D3CF6">
        <w:rPr>
          <w:lang w:val="ru-RU"/>
        </w:rPr>
        <w:t xml:space="preserve">  </w:t>
      </w:r>
      <w:r w:rsidR="00E3716F" w:rsidRPr="0025317E">
        <w:rPr>
          <w:b/>
          <w:bCs/>
        </w:rPr>
        <w:t>Основні виклики</w:t>
      </w:r>
      <w:r w:rsidR="0047146E">
        <w:rPr>
          <w:b/>
          <w:bCs/>
        </w:rPr>
        <w:t xml:space="preserve"> МЕП в контексті цифрової торгівлі </w:t>
      </w:r>
    </w:p>
    <w:p w14:paraId="39B2CA03" w14:textId="77777777" w:rsidR="0025317E" w:rsidRPr="004D3CF6" w:rsidRDefault="0025317E" w:rsidP="00CA348A">
      <w:pPr>
        <w:spacing w:after="0"/>
        <w:rPr>
          <w:b/>
          <w:bCs/>
          <w:lang w:val="ru-RU"/>
        </w:rPr>
      </w:pPr>
    </w:p>
    <w:p w14:paraId="0C19E0A0" w14:textId="77777777" w:rsidR="006F702A" w:rsidRDefault="007635E7" w:rsidP="00CA348A">
      <w:pPr>
        <w:spacing w:after="0"/>
      </w:pPr>
      <w:r>
        <w:t>Одним із головних викликів, з якими стикається міжнародне економічне право в контексті цифрової торгівлі, є необхідність адаптації існуючої правової бази до нової. Більшість чинних нормативно-правових актів були прийняті до бурхливого розвитку цифрових технологій і не враховують специфіку цифрових продуктів і послуг. Це призводить до законодавчих прогалин, які ускладнюють регулювання цифрової торгівлі.</w:t>
      </w:r>
      <w:r w:rsidR="0025317E" w:rsidRPr="0025317E">
        <w:rPr>
          <w:lang w:val="ru-RU"/>
        </w:rPr>
        <w:t xml:space="preserve"> </w:t>
      </w:r>
      <w:r>
        <w:t>Зокрема, нових підходів потребують питання електронного управління договорами, захисту даних споживачів, електронного підпису та податку на цифрові послуги.</w:t>
      </w:r>
    </w:p>
    <w:p w14:paraId="62CE8662" w14:textId="77777777" w:rsidR="004D3CF6" w:rsidRDefault="006F702A" w:rsidP="00CA348A">
      <w:pPr>
        <w:spacing w:after="0"/>
        <w:rPr>
          <w:b/>
          <w:bCs/>
        </w:rPr>
      </w:pPr>
      <w:r>
        <w:t xml:space="preserve">            </w:t>
      </w:r>
      <w:r w:rsidR="004D3CF6" w:rsidRPr="004D3CF6">
        <w:t>Відсутність єдиних міжнародних стандартів у цих галузях створює ризик правової невизначеності та ускладнює ведення бізнесу на міжнародному рівні. Крім того, цифрова торгівля породжує питання щодо управління та чинного законодавства. У випадку спорів, що виникають у сфері цифрової комерції, складно визначити, яке право застосовувати, оскільки учасники можуть знаходитися в різних країнах і правових системах.</w:t>
      </w:r>
      <w:r w:rsidR="0025317E" w:rsidRPr="006F702A">
        <w:rPr>
          <w:b/>
          <w:bCs/>
        </w:rPr>
        <w:t xml:space="preserve">  </w:t>
      </w:r>
      <w:r w:rsidR="004D3CF6">
        <w:rPr>
          <w:b/>
          <w:bCs/>
        </w:rPr>
        <w:t xml:space="preserve">   </w:t>
      </w:r>
    </w:p>
    <w:p w14:paraId="6FAEDB0C" w14:textId="03DB11D4" w:rsidR="007635E7" w:rsidRPr="0025317E" w:rsidRDefault="004D3CF6" w:rsidP="00CA348A">
      <w:pPr>
        <w:spacing w:after="0"/>
        <w:rPr>
          <w:b/>
          <w:bCs/>
        </w:rPr>
      </w:pPr>
      <w:r>
        <w:rPr>
          <w:b/>
          <w:bCs/>
        </w:rPr>
        <w:t xml:space="preserve">        </w:t>
      </w:r>
      <w:r w:rsidR="007635E7" w:rsidRPr="0025317E">
        <w:rPr>
          <w:b/>
          <w:bCs/>
        </w:rPr>
        <w:t>Економічні виклики та нерівність</w:t>
      </w:r>
      <w:r w:rsidR="0025317E" w:rsidRPr="006F702A">
        <w:rPr>
          <w:b/>
          <w:bCs/>
        </w:rPr>
        <w:t>.</w:t>
      </w:r>
    </w:p>
    <w:p w14:paraId="0B333BEF" w14:textId="77777777" w:rsidR="005E05C8" w:rsidRDefault="005E05C8" w:rsidP="00CA348A">
      <w:pPr>
        <w:spacing w:after="0"/>
      </w:pPr>
      <w:r w:rsidRPr="005E05C8">
        <w:t xml:space="preserve">Незважаючи на численні переваги, цифрова економіка також призводить до збільшення економічної нерівності між розвиненими та </w:t>
      </w:r>
      <w:proofErr w:type="spellStart"/>
      <w:r w:rsidRPr="005E05C8">
        <w:t>розвиваючимися</w:t>
      </w:r>
      <w:proofErr w:type="spellEnd"/>
      <w:r w:rsidRPr="005E05C8">
        <w:t xml:space="preserve"> країнами. Рівень доступу до цифрових технологій та інфраструктури відрізняється в різних країнах, що створює нерівність у можливостях участі в цифровому бізнесі.</w:t>
      </w:r>
    </w:p>
    <w:p w14:paraId="7F0895C7" w14:textId="5C6FC49F" w:rsidR="001E2ACF" w:rsidRPr="006F702A" w:rsidRDefault="006F702A" w:rsidP="00CA348A">
      <w:pPr>
        <w:spacing w:after="0"/>
      </w:pPr>
      <w:r>
        <w:t xml:space="preserve">          </w:t>
      </w:r>
      <w:r w:rsidR="005E05C8" w:rsidRPr="005E05C8">
        <w:t>Міжнародне економічне право має на меті зменшити нерівність і забезпечити рівний доступ до можливостей цифрового бізнесу. Це означає, що треба підтримувати розвиток цифрової інфраструктури в країнах, що розвиваються, і створювати сприятливі умови для залучення інвестицій у цю галузь. Крім того, важливо забезпечити доступ до освіти та покращити цифрову грамотність в країнах, що розвиваються. Це допоможе підвищити рівень компетентності в цифрових технологіях і сприятиме більш рівноправній участі у глобальній цифровій економіці.</w:t>
      </w:r>
    </w:p>
    <w:p w14:paraId="083000F3" w14:textId="19CFB881" w:rsidR="0047146E" w:rsidRDefault="0025317E" w:rsidP="00CA348A">
      <w:pPr>
        <w:spacing w:after="0"/>
      </w:pPr>
      <w:r w:rsidRPr="006F702A">
        <w:t xml:space="preserve">                                        </w:t>
      </w:r>
    </w:p>
    <w:p w14:paraId="4A3AFEE1" w14:textId="333BB49C" w:rsidR="006F702A" w:rsidRDefault="0047146E" w:rsidP="00CA348A">
      <w:pPr>
        <w:spacing w:after="0"/>
      </w:pPr>
      <w:r>
        <w:rPr>
          <w:b/>
          <w:bCs/>
        </w:rPr>
        <w:t xml:space="preserve">            </w:t>
      </w:r>
      <w:r w:rsidR="00E3716F" w:rsidRPr="0025317E">
        <w:rPr>
          <w:b/>
          <w:bCs/>
        </w:rPr>
        <w:t>Перспективи</w:t>
      </w:r>
      <w:r>
        <w:rPr>
          <w:b/>
          <w:bCs/>
        </w:rPr>
        <w:t xml:space="preserve"> Цифрової торгівлі на розвиток МЕП</w:t>
      </w:r>
    </w:p>
    <w:p w14:paraId="72C66C75" w14:textId="77777777" w:rsidR="0047146E" w:rsidRDefault="0047146E" w:rsidP="00CA348A">
      <w:pPr>
        <w:spacing w:after="0"/>
      </w:pPr>
    </w:p>
    <w:p w14:paraId="7B200646" w14:textId="77777777" w:rsidR="005E05C8" w:rsidRDefault="005E05C8" w:rsidP="00CA348A">
      <w:pPr>
        <w:spacing w:after="0"/>
      </w:pPr>
      <w:r w:rsidRPr="005E05C8">
        <w:t>Майбутнє міжнародного економічного права у галузі цифрової торгівлі полягає в розвитку гнучких та прогресивних правових рамок, які сприятимуть стабільному та інклюзивному розвитку цифрової економіки. Це вимагатиме активної співпраці міжнародних громадських та приватних суб'єктів для вирішення складних викликів, що стоять перед цифровою торгівлею. Міжнародні організації, такі як Світова організація торгівлі та Організація Об'єднаних Націй, відіграють важливу роль у сприянні діалогу та співпраці між країнами з метою розробки міжнародних стандартів у цифровій сфері. Регіональні організації також можуть відігравати ключову роль у створенні згуртованих правових рамок для своїх членів.</w:t>
      </w:r>
    </w:p>
    <w:p w14:paraId="0DDA5CB7" w14:textId="37C1E7CF" w:rsidR="0025317E" w:rsidRDefault="006F702A" w:rsidP="00CA348A">
      <w:pPr>
        <w:spacing w:after="0"/>
      </w:pPr>
      <w:r>
        <w:t xml:space="preserve">             </w:t>
      </w:r>
      <w:r w:rsidR="0025317E">
        <w:t xml:space="preserve">Однією з </w:t>
      </w:r>
      <w:r w:rsidR="005E05C8">
        <w:t>далекосяжних</w:t>
      </w:r>
      <w:r w:rsidR="0025317E">
        <w:t xml:space="preserve"> напрямків є </w:t>
      </w:r>
      <w:r w:rsidR="005E05C8">
        <w:t>піднесення</w:t>
      </w:r>
      <w:r w:rsidR="0025317E">
        <w:t xml:space="preserve"> смарт-контрактів – автоматизованих контрактів, які </w:t>
      </w:r>
      <w:r w:rsidR="005E05C8">
        <w:t>здійснюються</w:t>
      </w:r>
      <w:r w:rsidR="0025317E">
        <w:t xml:space="preserve"> безпосередньо після настання певних умов. Смарт-контракти можуть </w:t>
      </w:r>
      <w:r w:rsidR="005E05C8">
        <w:t>вкрай</w:t>
      </w:r>
      <w:r w:rsidR="0025317E">
        <w:t xml:space="preserve"> спростити процес укладання та виконання угод у цифровій торгівлі, підвищуючи їх ефективність та прозорість.</w:t>
      </w:r>
    </w:p>
    <w:p w14:paraId="211EA412" w14:textId="4F4817F8" w:rsidR="005E05C8" w:rsidRDefault="006F702A" w:rsidP="00CA348A">
      <w:pPr>
        <w:spacing w:after="0"/>
      </w:pPr>
      <w:r>
        <w:t xml:space="preserve">            </w:t>
      </w:r>
      <w:r w:rsidR="005E05C8" w:rsidRPr="005E05C8">
        <w:t xml:space="preserve">Використання штучного інтелекту в </w:t>
      </w:r>
      <w:r w:rsidR="00451513">
        <w:t>юридичній</w:t>
      </w:r>
      <w:r w:rsidR="005E05C8" w:rsidRPr="005E05C8">
        <w:t xml:space="preserve"> сфері також </w:t>
      </w:r>
      <w:r w:rsidR="00451513" w:rsidRPr="005E05C8">
        <w:t>розкриває</w:t>
      </w:r>
      <w:r w:rsidR="005E05C8" w:rsidRPr="005E05C8">
        <w:t xml:space="preserve"> </w:t>
      </w:r>
      <w:r w:rsidR="00451513" w:rsidRPr="005E05C8">
        <w:t>сучасні</w:t>
      </w:r>
      <w:r w:rsidR="005E05C8" w:rsidRPr="005E05C8">
        <w:t xml:space="preserve"> можливості, включаючи автоматизацію процесів правового аналізу, прогнозування правових ризиків та розробку систем для автоматичного вирішення спорів. Застосування штучного інтелекту може значно підвищити ефективність регулювання цифрової торгівлі та знизити витрати на правові послуги.</w:t>
      </w:r>
    </w:p>
    <w:p w14:paraId="0EF114A6" w14:textId="537BED89" w:rsidR="006F702A" w:rsidRDefault="006F702A" w:rsidP="00CA348A">
      <w:pPr>
        <w:spacing w:after="0"/>
      </w:pPr>
      <w:r>
        <w:t xml:space="preserve">            </w:t>
      </w:r>
      <w:r w:rsidR="005E05C8" w:rsidRPr="005E05C8">
        <w:t>Одним з важливих напрямків є поліпшення механізмів вирішення спорів у міжнародній торгівлі. Традиційні методи вирішення спорів не завжди враховують особливості цифрової торгівлі і можуть бути довготривалими та витратними. Розробка нових механізмів, таких як онлайн-арбітраж та медіація, дозволить швидше та ефективніше вирішувати спори, що виникають у цифровій торгівлі.</w:t>
      </w:r>
      <w:r w:rsidR="0025317E" w:rsidRPr="0025317E">
        <w:t>.</w:t>
      </w:r>
    </w:p>
    <w:p w14:paraId="2EE0C322" w14:textId="77777777" w:rsidR="006F702A" w:rsidRDefault="006F702A" w:rsidP="00CA348A">
      <w:pPr>
        <w:spacing w:after="0"/>
      </w:pPr>
    </w:p>
    <w:p w14:paraId="61901B8E" w14:textId="7ABE360C" w:rsidR="00DB0E7D" w:rsidRDefault="006F702A" w:rsidP="00CA348A">
      <w:pPr>
        <w:spacing w:after="0"/>
      </w:pPr>
      <w:r>
        <w:t xml:space="preserve">Маючи таку ситуацію на сьогоднішній день можна зробити такі висновки. </w:t>
      </w:r>
      <w:r w:rsidR="005E05C8" w:rsidRPr="005E05C8">
        <w:t xml:space="preserve">Вплив цифрової торгівлі на розвиток міжнародного економічного права має багато аспектів. Вона представляє як виклики, так і нові можливості. Щоб впоратися з викликами, пов'язаними з адаптацією правових рамок, стандартизацією, захистом інтелектуальної власності та скороченням економічної нерівності, необхідна активна робота на міжнародному рівні. В той же час, цифрова торгівля відкриває нові можливості для розвитку правових інститутів, підвищуючи ефективність і прозорість правового регулювання. Успішне подолання викликів і використання нових можливостей допоможе забезпечити стійкий розвиток світової економіки в умовах </w:t>
      </w:r>
      <w:proofErr w:type="spellStart"/>
      <w:r w:rsidR="005E05C8" w:rsidRPr="005E05C8">
        <w:t>цифровізації</w:t>
      </w:r>
      <w:proofErr w:type="spellEnd"/>
      <w:r w:rsidR="005E05C8" w:rsidRPr="005E05C8">
        <w:t xml:space="preserve"> та глобалізації.</w:t>
      </w:r>
    </w:p>
    <w:p w14:paraId="0D0751F2" w14:textId="77777777" w:rsidR="00192D55" w:rsidRDefault="00192D55" w:rsidP="00CA348A">
      <w:pPr>
        <w:spacing w:after="0"/>
      </w:pPr>
    </w:p>
    <w:p w14:paraId="51D8D977" w14:textId="385C2F42" w:rsidR="00192D55" w:rsidRPr="00B130B4" w:rsidRDefault="00192D55" w:rsidP="00CA348A">
      <w:pPr>
        <w:spacing w:after="0"/>
        <w:rPr>
          <w:szCs w:val="28"/>
        </w:rPr>
      </w:pPr>
      <w:r w:rsidRPr="00B130B4">
        <w:rPr>
          <w:szCs w:val="28"/>
        </w:rPr>
        <w:t xml:space="preserve">                              Список використаних джерел</w:t>
      </w:r>
    </w:p>
    <w:p w14:paraId="56006717" w14:textId="77777777" w:rsidR="00192D55" w:rsidRDefault="00192D55" w:rsidP="00CA348A">
      <w:pPr>
        <w:spacing w:after="0"/>
      </w:pPr>
    </w:p>
    <w:p w14:paraId="57422076" w14:textId="44850FE7" w:rsidR="00CC0E0B" w:rsidRDefault="00CC0E0B" w:rsidP="00CC0E0B">
      <w:pPr>
        <w:rPr>
          <w:sz w:val="24"/>
          <w:lang w:val="en-US"/>
        </w:rPr>
      </w:pPr>
      <w:r>
        <w:rPr>
          <w:rFonts w:hAnsi="Symbol"/>
        </w:rPr>
        <w:t>1.</w:t>
      </w:r>
      <w:r>
        <w:t xml:space="preserve"> </w:t>
      </w:r>
      <w:proofErr w:type="spellStart"/>
      <w:r>
        <w:t>Anderson</w:t>
      </w:r>
      <w:proofErr w:type="spellEnd"/>
      <w:r>
        <w:t xml:space="preserve"> K., </w:t>
      </w:r>
      <w:proofErr w:type="spellStart"/>
      <w:r>
        <w:t>Nielsen</w:t>
      </w:r>
      <w:proofErr w:type="spellEnd"/>
      <w:r>
        <w:t xml:space="preserve"> J. </w:t>
      </w:r>
      <w:proofErr w:type="spellStart"/>
      <w:r>
        <w:t>Digital</w:t>
      </w:r>
      <w:proofErr w:type="spellEnd"/>
      <w:r>
        <w:t xml:space="preserve"> </w:t>
      </w:r>
      <w:proofErr w:type="spellStart"/>
      <w:r>
        <w:t>trade</w:t>
      </w:r>
      <w:proofErr w:type="spellEnd"/>
      <w:r>
        <w:t xml:space="preserve"> </w:t>
      </w:r>
      <w:proofErr w:type="spellStart"/>
      <w:r>
        <w:t>and</w:t>
      </w:r>
      <w:proofErr w:type="spellEnd"/>
      <w:r>
        <w:t xml:space="preserve"> </w:t>
      </w:r>
      <w:proofErr w:type="spellStart"/>
      <w:r>
        <w:t>market</w:t>
      </w:r>
      <w:proofErr w:type="spellEnd"/>
      <w:r>
        <w:t xml:space="preserve"> </w:t>
      </w:r>
      <w:proofErr w:type="spellStart"/>
      <w:r>
        <w:t>openness</w:t>
      </w:r>
      <w:proofErr w:type="spellEnd"/>
      <w:r>
        <w:t xml:space="preserve">: </w:t>
      </w:r>
      <w:proofErr w:type="spellStart"/>
      <w:r>
        <w:t>Impacts</w:t>
      </w:r>
      <w:proofErr w:type="spellEnd"/>
      <w:r>
        <w:t xml:space="preserve"> </w:t>
      </w:r>
      <w:proofErr w:type="spellStart"/>
      <w:r>
        <w:t>and</w:t>
      </w:r>
      <w:proofErr w:type="spellEnd"/>
      <w:r>
        <w:t xml:space="preserve"> </w:t>
      </w:r>
      <w:proofErr w:type="spellStart"/>
      <w:r>
        <w:t>policy</w:t>
      </w:r>
      <w:proofErr w:type="spellEnd"/>
      <w:r>
        <w:t xml:space="preserve"> </w:t>
      </w:r>
      <w:proofErr w:type="spellStart"/>
      <w:r>
        <w:t>challenges</w:t>
      </w:r>
      <w:proofErr w:type="spellEnd"/>
      <w:r>
        <w:t xml:space="preserve"> // </w:t>
      </w:r>
      <w:proofErr w:type="spellStart"/>
      <w:r>
        <w:t>International</w:t>
      </w:r>
      <w:proofErr w:type="spellEnd"/>
      <w:r>
        <w:t xml:space="preserve"> </w:t>
      </w:r>
      <w:proofErr w:type="spellStart"/>
      <w:r>
        <w:t>Economic</w:t>
      </w:r>
      <w:proofErr w:type="spellEnd"/>
      <w:r>
        <w:t xml:space="preserve"> </w:t>
      </w:r>
      <w:proofErr w:type="spellStart"/>
      <w:r>
        <w:t>Review</w:t>
      </w:r>
      <w:proofErr w:type="spellEnd"/>
      <w:r>
        <w:t>. 2001.</w:t>
      </w:r>
    </w:p>
    <w:p w14:paraId="1EE43E5D" w14:textId="041282E6" w:rsidR="00CC0E0B" w:rsidRDefault="00CC0E0B" w:rsidP="00CC0E0B">
      <w:r>
        <w:rPr>
          <w:rFonts w:hAnsi="Symbol"/>
        </w:rPr>
        <w:lastRenderedPageBreak/>
        <w:t xml:space="preserve">2. </w:t>
      </w:r>
      <w:proofErr w:type="spellStart"/>
      <w:r>
        <w:t>Baldwin</w:t>
      </w:r>
      <w:proofErr w:type="spellEnd"/>
      <w:r>
        <w:t xml:space="preserve"> R. </w:t>
      </w:r>
      <w:proofErr w:type="spellStart"/>
      <w:r>
        <w:t>The</w:t>
      </w:r>
      <w:proofErr w:type="spellEnd"/>
      <w:r>
        <w:t xml:space="preserve"> </w:t>
      </w:r>
      <w:proofErr w:type="spellStart"/>
      <w:r>
        <w:t>Great</w:t>
      </w:r>
      <w:proofErr w:type="spellEnd"/>
      <w:r>
        <w:t xml:space="preserve"> </w:t>
      </w:r>
      <w:proofErr w:type="spellStart"/>
      <w:r>
        <w:t>Convergence</w:t>
      </w:r>
      <w:proofErr w:type="spellEnd"/>
      <w:r>
        <w:t xml:space="preserve">: </w:t>
      </w:r>
      <w:proofErr w:type="spellStart"/>
      <w:r>
        <w:t>Information</w:t>
      </w:r>
      <w:proofErr w:type="spellEnd"/>
      <w:r>
        <w:t xml:space="preserve"> </w:t>
      </w:r>
      <w:proofErr w:type="spellStart"/>
      <w:r>
        <w:t>Technology</w:t>
      </w:r>
      <w:proofErr w:type="spellEnd"/>
      <w:r>
        <w:t xml:space="preserve"> </w:t>
      </w:r>
      <w:proofErr w:type="spellStart"/>
      <w:r>
        <w:t>and</w:t>
      </w:r>
      <w:proofErr w:type="spellEnd"/>
      <w:r>
        <w:t xml:space="preserve"> </w:t>
      </w:r>
      <w:proofErr w:type="spellStart"/>
      <w:r>
        <w:t>the</w:t>
      </w:r>
      <w:proofErr w:type="spellEnd"/>
      <w:r>
        <w:t xml:space="preserve"> </w:t>
      </w:r>
      <w:proofErr w:type="spellStart"/>
      <w:r>
        <w:t>New</w:t>
      </w:r>
      <w:proofErr w:type="spellEnd"/>
      <w:r>
        <w:t xml:space="preserve"> </w:t>
      </w:r>
      <w:proofErr w:type="spellStart"/>
      <w:r>
        <w:t>Globalization</w:t>
      </w:r>
      <w:proofErr w:type="spellEnd"/>
      <w:r>
        <w:t xml:space="preserve">. </w:t>
      </w:r>
      <w:proofErr w:type="spellStart"/>
      <w:r>
        <w:t>Harvard</w:t>
      </w:r>
      <w:proofErr w:type="spellEnd"/>
      <w:r>
        <w:t xml:space="preserve"> </w:t>
      </w:r>
      <w:proofErr w:type="spellStart"/>
      <w:r>
        <w:t>University</w:t>
      </w:r>
      <w:proofErr w:type="spellEnd"/>
      <w:r>
        <w:t xml:space="preserve"> </w:t>
      </w:r>
      <w:proofErr w:type="spellStart"/>
      <w:r>
        <w:t>Press</w:t>
      </w:r>
      <w:proofErr w:type="spellEnd"/>
      <w:r>
        <w:t>, 2016.</w:t>
      </w:r>
    </w:p>
    <w:p w14:paraId="3539340D" w14:textId="082AEFAD" w:rsidR="00CC0E0B" w:rsidRDefault="00CC0E0B" w:rsidP="00CC0E0B">
      <w:r>
        <w:rPr>
          <w:rFonts w:hAnsi="Symbol"/>
        </w:rPr>
        <w:t>3.</w:t>
      </w:r>
      <w:r>
        <w:t xml:space="preserve"> </w:t>
      </w:r>
      <w:proofErr w:type="spellStart"/>
      <w:r>
        <w:t>Chander</w:t>
      </w:r>
      <w:proofErr w:type="spellEnd"/>
      <w:r>
        <w:t xml:space="preserve"> A. </w:t>
      </w:r>
      <w:proofErr w:type="spellStart"/>
      <w:r>
        <w:t>The</w:t>
      </w:r>
      <w:proofErr w:type="spellEnd"/>
      <w:r>
        <w:t xml:space="preserve"> </w:t>
      </w:r>
      <w:proofErr w:type="spellStart"/>
      <w:r>
        <w:t>Electronic</w:t>
      </w:r>
      <w:proofErr w:type="spellEnd"/>
      <w:r>
        <w:t xml:space="preserve"> </w:t>
      </w:r>
      <w:proofErr w:type="spellStart"/>
      <w:r>
        <w:t>Silk</w:t>
      </w:r>
      <w:proofErr w:type="spellEnd"/>
      <w:r>
        <w:t xml:space="preserve"> </w:t>
      </w:r>
      <w:proofErr w:type="spellStart"/>
      <w:r>
        <w:t>Road</w:t>
      </w:r>
      <w:proofErr w:type="spellEnd"/>
      <w:r>
        <w:t xml:space="preserve">: </w:t>
      </w:r>
      <w:proofErr w:type="spellStart"/>
      <w:r>
        <w:t>How</w:t>
      </w:r>
      <w:proofErr w:type="spellEnd"/>
      <w:r>
        <w:t xml:space="preserve"> </w:t>
      </w:r>
      <w:proofErr w:type="spellStart"/>
      <w:r>
        <w:t>the</w:t>
      </w:r>
      <w:proofErr w:type="spellEnd"/>
      <w:r>
        <w:t xml:space="preserve"> </w:t>
      </w:r>
      <w:proofErr w:type="spellStart"/>
      <w:r>
        <w:t>Web</w:t>
      </w:r>
      <w:proofErr w:type="spellEnd"/>
      <w:r>
        <w:t xml:space="preserve"> </w:t>
      </w:r>
      <w:proofErr w:type="spellStart"/>
      <w:r>
        <w:t>Binds</w:t>
      </w:r>
      <w:proofErr w:type="spellEnd"/>
      <w:r>
        <w:t xml:space="preserve"> </w:t>
      </w:r>
      <w:proofErr w:type="spellStart"/>
      <w:r>
        <w:t>the</w:t>
      </w:r>
      <w:proofErr w:type="spellEnd"/>
      <w:r>
        <w:t xml:space="preserve"> </w:t>
      </w:r>
      <w:proofErr w:type="spellStart"/>
      <w:r>
        <w:t>World</w:t>
      </w:r>
      <w:proofErr w:type="spellEnd"/>
      <w:r>
        <w:t xml:space="preserve"> </w:t>
      </w:r>
      <w:proofErr w:type="spellStart"/>
      <w:r>
        <w:t>Together</w:t>
      </w:r>
      <w:proofErr w:type="spellEnd"/>
      <w:r>
        <w:t xml:space="preserve"> </w:t>
      </w:r>
      <w:proofErr w:type="spellStart"/>
      <w:r>
        <w:t>in</w:t>
      </w:r>
      <w:proofErr w:type="spellEnd"/>
      <w:r>
        <w:t xml:space="preserve"> </w:t>
      </w:r>
      <w:proofErr w:type="spellStart"/>
      <w:r>
        <w:t>Commerce</w:t>
      </w:r>
      <w:proofErr w:type="spellEnd"/>
      <w:r>
        <w:t xml:space="preserve">. </w:t>
      </w:r>
      <w:proofErr w:type="spellStart"/>
      <w:r>
        <w:t>Yale</w:t>
      </w:r>
      <w:proofErr w:type="spellEnd"/>
      <w:r>
        <w:t xml:space="preserve"> </w:t>
      </w:r>
      <w:proofErr w:type="spellStart"/>
      <w:r>
        <w:t>University</w:t>
      </w:r>
      <w:proofErr w:type="spellEnd"/>
      <w:r>
        <w:t xml:space="preserve"> </w:t>
      </w:r>
      <w:proofErr w:type="spellStart"/>
      <w:r>
        <w:t>Press</w:t>
      </w:r>
      <w:proofErr w:type="spellEnd"/>
      <w:r>
        <w:t>, 2013.</w:t>
      </w:r>
    </w:p>
    <w:p w14:paraId="6E8EAE63" w14:textId="616F9C7E" w:rsidR="00CC0E0B" w:rsidRDefault="00CC0E0B" w:rsidP="00CC0E0B">
      <w:r>
        <w:rPr>
          <w:rFonts w:hAnsi="Symbol"/>
        </w:rPr>
        <w:t xml:space="preserve">4. </w:t>
      </w:r>
      <w:proofErr w:type="spellStart"/>
      <w:r>
        <w:t>World</w:t>
      </w:r>
      <w:proofErr w:type="spellEnd"/>
      <w:r>
        <w:t xml:space="preserve"> </w:t>
      </w:r>
      <w:proofErr w:type="spellStart"/>
      <w:r>
        <w:t>Trade</w:t>
      </w:r>
      <w:proofErr w:type="spellEnd"/>
      <w:r>
        <w:t xml:space="preserve"> </w:t>
      </w:r>
      <w:proofErr w:type="spellStart"/>
      <w:r>
        <w:t>Organization</w:t>
      </w:r>
      <w:proofErr w:type="spellEnd"/>
      <w:r>
        <w:t xml:space="preserve"> (WTO). E-</w:t>
      </w:r>
      <w:proofErr w:type="spellStart"/>
      <w:r>
        <w:t>commerce</w:t>
      </w:r>
      <w:proofErr w:type="spellEnd"/>
      <w:r>
        <w:t xml:space="preserve">, </w:t>
      </w:r>
      <w:proofErr w:type="spellStart"/>
      <w:r>
        <w:t>trade</w:t>
      </w:r>
      <w:proofErr w:type="spellEnd"/>
      <w:r>
        <w:t xml:space="preserve">, </w:t>
      </w:r>
      <w:proofErr w:type="spellStart"/>
      <w:r>
        <w:t>and</w:t>
      </w:r>
      <w:proofErr w:type="spellEnd"/>
      <w:r>
        <w:t xml:space="preserve"> </w:t>
      </w:r>
      <w:proofErr w:type="spellStart"/>
      <w:r>
        <w:t>the</w:t>
      </w:r>
      <w:proofErr w:type="spellEnd"/>
      <w:r>
        <w:t xml:space="preserve"> COVID-19 </w:t>
      </w:r>
      <w:proofErr w:type="spellStart"/>
      <w:r>
        <w:t>pandemic</w:t>
      </w:r>
      <w:proofErr w:type="spellEnd"/>
      <w:r>
        <w:t xml:space="preserve">. WTO </w:t>
      </w:r>
      <w:proofErr w:type="spellStart"/>
      <w:r>
        <w:t>Reports</w:t>
      </w:r>
      <w:proofErr w:type="spellEnd"/>
      <w:r>
        <w:t>, 2020.</w:t>
      </w:r>
    </w:p>
    <w:p w14:paraId="0A699F63" w14:textId="29775717" w:rsidR="00192D55" w:rsidRPr="00192D55" w:rsidRDefault="00F7263E" w:rsidP="00CC0E0B">
      <w:pPr>
        <w:rPr>
          <w:szCs w:val="28"/>
        </w:rPr>
      </w:pPr>
      <w:r>
        <w:rPr>
          <w:rFonts w:hAnsi="Symbol"/>
        </w:rPr>
        <w:t xml:space="preserve">5. </w:t>
      </w:r>
      <w:proofErr w:type="spellStart"/>
      <w:r w:rsidR="00CC0E0B">
        <w:t>General</w:t>
      </w:r>
      <w:proofErr w:type="spellEnd"/>
      <w:r w:rsidR="00CC0E0B">
        <w:t xml:space="preserve"> </w:t>
      </w:r>
      <w:proofErr w:type="spellStart"/>
      <w:r w:rsidR="00CC0E0B">
        <w:t>Data</w:t>
      </w:r>
      <w:proofErr w:type="spellEnd"/>
      <w:r w:rsidR="00CC0E0B">
        <w:t xml:space="preserve"> </w:t>
      </w:r>
      <w:proofErr w:type="spellStart"/>
      <w:r w:rsidR="00CC0E0B">
        <w:t>Protection</w:t>
      </w:r>
      <w:proofErr w:type="spellEnd"/>
      <w:r w:rsidR="00CC0E0B">
        <w:t xml:space="preserve"> </w:t>
      </w:r>
      <w:proofErr w:type="spellStart"/>
      <w:r w:rsidR="00CC0E0B">
        <w:t>Regulation</w:t>
      </w:r>
      <w:proofErr w:type="spellEnd"/>
      <w:r w:rsidR="00CC0E0B">
        <w:t xml:space="preserve"> (GDPR) // </w:t>
      </w:r>
      <w:proofErr w:type="spellStart"/>
      <w:r w:rsidR="00CC0E0B">
        <w:t>European</w:t>
      </w:r>
      <w:proofErr w:type="spellEnd"/>
      <w:r w:rsidR="00CC0E0B">
        <w:t xml:space="preserve"> </w:t>
      </w:r>
      <w:proofErr w:type="spellStart"/>
      <w:r w:rsidR="00CC0E0B">
        <w:t>Commission</w:t>
      </w:r>
      <w:proofErr w:type="spellEnd"/>
      <w:r w:rsidR="00CC0E0B">
        <w:t xml:space="preserve">. URL: </w:t>
      </w:r>
      <w:hyperlink r:id="rId5" w:tgtFrame="_new" w:history="1">
        <w:r w:rsidR="00CC0E0B">
          <w:rPr>
            <w:rStyle w:val="a3"/>
          </w:rPr>
          <w:t>https://eur-lex.europa.eu/eli/reg/2016/679/oj</w:t>
        </w:r>
      </w:hyperlink>
      <w:r w:rsidR="00CC0E0B">
        <w:t xml:space="preserve"> (дата звернення: 09.06.2024).</w:t>
      </w:r>
    </w:p>
    <w:sectPr w:rsidR="00192D55" w:rsidRPr="00192D5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09"/>
    <w:rsid w:val="0004247F"/>
    <w:rsid w:val="00060080"/>
    <w:rsid w:val="000877AD"/>
    <w:rsid w:val="000A7BBF"/>
    <w:rsid w:val="000E3A57"/>
    <w:rsid w:val="000F72CF"/>
    <w:rsid w:val="0014203A"/>
    <w:rsid w:val="001462DB"/>
    <w:rsid w:val="00184F7B"/>
    <w:rsid w:val="00192D55"/>
    <w:rsid w:val="001E2ACF"/>
    <w:rsid w:val="0025317E"/>
    <w:rsid w:val="002920C9"/>
    <w:rsid w:val="00295AA5"/>
    <w:rsid w:val="00395B09"/>
    <w:rsid w:val="003C0313"/>
    <w:rsid w:val="004022FF"/>
    <w:rsid w:val="00413921"/>
    <w:rsid w:val="00451513"/>
    <w:rsid w:val="0047146E"/>
    <w:rsid w:val="004A1E59"/>
    <w:rsid w:val="004A3CC7"/>
    <w:rsid w:val="004C29D4"/>
    <w:rsid w:val="004D3CF6"/>
    <w:rsid w:val="0051305B"/>
    <w:rsid w:val="00526F38"/>
    <w:rsid w:val="00572BF7"/>
    <w:rsid w:val="005A2560"/>
    <w:rsid w:val="005D4FFD"/>
    <w:rsid w:val="005E05C8"/>
    <w:rsid w:val="005E6627"/>
    <w:rsid w:val="00626D15"/>
    <w:rsid w:val="00685F61"/>
    <w:rsid w:val="006C0B77"/>
    <w:rsid w:val="006F702A"/>
    <w:rsid w:val="00741D98"/>
    <w:rsid w:val="007635E7"/>
    <w:rsid w:val="00770AE0"/>
    <w:rsid w:val="007A4B82"/>
    <w:rsid w:val="007B7A0F"/>
    <w:rsid w:val="008242FF"/>
    <w:rsid w:val="008448E5"/>
    <w:rsid w:val="00870751"/>
    <w:rsid w:val="008B2610"/>
    <w:rsid w:val="008B2B78"/>
    <w:rsid w:val="00901525"/>
    <w:rsid w:val="00910D8A"/>
    <w:rsid w:val="00922C48"/>
    <w:rsid w:val="009B5DC0"/>
    <w:rsid w:val="009C7F93"/>
    <w:rsid w:val="009E53E1"/>
    <w:rsid w:val="009F40F6"/>
    <w:rsid w:val="00A042C9"/>
    <w:rsid w:val="00A31177"/>
    <w:rsid w:val="00B130B4"/>
    <w:rsid w:val="00B27D53"/>
    <w:rsid w:val="00B915B7"/>
    <w:rsid w:val="00BB57DF"/>
    <w:rsid w:val="00BF4CAF"/>
    <w:rsid w:val="00CA348A"/>
    <w:rsid w:val="00CC0E0B"/>
    <w:rsid w:val="00D84C57"/>
    <w:rsid w:val="00DB0E7D"/>
    <w:rsid w:val="00DE203F"/>
    <w:rsid w:val="00DF2E16"/>
    <w:rsid w:val="00E17B1E"/>
    <w:rsid w:val="00E3716F"/>
    <w:rsid w:val="00EA59DF"/>
    <w:rsid w:val="00EE4070"/>
    <w:rsid w:val="00F12C76"/>
    <w:rsid w:val="00F72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D8C1"/>
  <w15:chartTrackingRefBased/>
  <w15:docId w15:val="{3977A84B-81B7-49AB-B2B5-10E4D20A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921"/>
    <w:rPr>
      <w:color w:val="0563C1" w:themeColor="hyperlink"/>
      <w:u w:val="single"/>
    </w:rPr>
  </w:style>
  <w:style w:type="character" w:styleId="a4">
    <w:name w:val="Unresolved Mention"/>
    <w:basedOn w:val="a0"/>
    <w:uiPriority w:val="99"/>
    <w:semiHidden/>
    <w:unhideWhenUsed/>
    <w:rsid w:val="00413921"/>
    <w:rPr>
      <w:color w:val="605E5C"/>
      <w:shd w:val="clear" w:color="auto" w:fill="E1DFDD"/>
    </w:rPr>
  </w:style>
  <w:style w:type="character" w:styleId="a5">
    <w:name w:val="Emphasis"/>
    <w:basedOn w:val="a0"/>
    <w:uiPriority w:val="20"/>
    <w:qFormat/>
    <w:rsid w:val="00192D55"/>
    <w:rPr>
      <w:i/>
      <w:iCs/>
    </w:rPr>
  </w:style>
  <w:style w:type="character" w:styleId="a6">
    <w:name w:val="FollowedHyperlink"/>
    <w:basedOn w:val="a0"/>
    <w:uiPriority w:val="99"/>
    <w:semiHidden/>
    <w:unhideWhenUsed/>
    <w:rsid w:val="00F726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711459">
      <w:bodyDiv w:val="1"/>
      <w:marLeft w:val="0"/>
      <w:marRight w:val="0"/>
      <w:marTop w:val="0"/>
      <w:marBottom w:val="0"/>
      <w:divBdr>
        <w:top w:val="none" w:sz="0" w:space="0" w:color="auto"/>
        <w:left w:val="none" w:sz="0" w:space="0" w:color="auto"/>
        <w:bottom w:val="none" w:sz="0" w:space="0" w:color="auto"/>
        <w:right w:val="none" w:sz="0" w:space="0" w:color="auto"/>
      </w:divBdr>
    </w:div>
    <w:div w:id="595862885">
      <w:bodyDiv w:val="1"/>
      <w:marLeft w:val="0"/>
      <w:marRight w:val="0"/>
      <w:marTop w:val="0"/>
      <w:marBottom w:val="0"/>
      <w:divBdr>
        <w:top w:val="none" w:sz="0" w:space="0" w:color="auto"/>
        <w:left w:val="none" w:sz="0" w:space="0" w:color="auto"/>
        <w:bottom w:val="none" w:sz="0" w:space="0" w:color="auto"/>
        <w:right w:val="none" w:sz="0" w:space="0" w:color="auto"/>
      </w:divBdr>
    </w:div>
    <w:div w:id="598755914">
      <w:bodyDiv w:val="1"/>
      <w:marLeft w:val="0"/>
      <w:marRight w:val="0"/>
      <w:marTop w:val="0"/>
      <w:marBottom w:val="0"/>
      <w:divBdr>
        <w:top w:val="none" w:sz="0" w:space="0" w:color="auto"/>
        <w:left w:val="none" w:sz="0" w:space="0" w:color="auto"/>
        <w:bottom w:val="none" w:sz="0" w:space="0" w:color="auto"/>
        <w:right w:val="none" w:sz="0" w:space="0" w:color="auto"/>
      </w:divBdr>
      <w:divsChild>
        <w:div w:id="902525792">
          <w:marLeft w:val="0"/>
          <w:marRight w:val="0"/>
          <w:marTop w:val="0"/>
          <w:marBottom w:val="0"/>
          <w:divBdr>
            <w:top w:val="none" w:sz="0" w:space="0" w:color="auto"/>
            <w:left w:val="none" w:sz="0" w:space="0" w:color="auto"/>
            <w:bottom w:val="none" w:sz="0" w:space="0" w:color="auto"/>
            <w:right w:val="none" w:sz="0" w:space="0" w:color="auto"/>
          </w:divBdr>
          <w:divsChild>
            <w:div w:id="51395256">
              <w:marLeft w:val="0"/>
              <w:marRight w:val="0"/>
              <w:marTop w:val="0"/>
              <w:marBottom w:val="0"/>
              <w:divBdr>
                <w:top w:val="none" w:sz="0" w:space="0" w:color="auto"/>
                <w:left w:val="none" w:sz="0" w:space="0" w:color="auto"/>
                <w:bottom w:val="none" w:sz="0" w:space="0" w:color="auto"/>
                <w:right w:val="none" w:sz="0" w:space="0" w:color="auto"/>
              </w:divBdr>
              <w:divsChild>
                <w:div w:id="611326964">
                  <w:marLeft w:val="0"/>
                  <w:marRight w:val="0"/>
                  <w:marTop w:val="0"/>
                  <w:marBottom w:val="0"/>
                  <w:divBdr>
                    <w:top w:val="none" w:sz="0" w:space="0" w:color="auto"/>
                    <w:left w:val="none" w:sz="0" w:space="0" w:color="auto"/>
                    <w:bottom w:val="none" w:sz="0" w:space="0" w:color="auto"/>
                    <w:right w:val="none" w:sz="0" w:space="0" w:color="auto"/>
                  </w:divBdr>
                  <w:divsChild>
                    <w:div w:id="14875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9779">
          <w:marLeft w:val="0"/>
          <w:marRight w:val="0"/>
          <w:marTop w:val="0"/>
          <w:marBottom w:val="0"/>
          <w:divBdr>
            <w:top w:val="none" w:sz="0" w:space="0" w:color="auto"/>
            <w:left w:val="none" w:sz="0" w:space="0" w:color="auto"/>
            <w:bottom w:val="none" w:sz="0" w:space="0" w:color="auto"/>
            <w:right w:val="none" w:sz="0" w:space="0" w:color="auto"/>
          </w:divBdr>
          <w:divsChild>
            <w:div w:id="1415321476">
              <w:marLeft w:val="0"/>
              <w:marRight w:val="0"/>
              <w:marTop w:val="0"/>
              <w:marBottom w:val="0"/>
              <w:divBdr>
                <w:top w:val="none" w:sz="0" w:space="0" w:color="auto"/>
                <w:left w:val="none" w:sz="0" w:space="0" w:color="auto"/>
                <w:bottom w:val="none" w:sz="0" w:space="0" w:color="auto"/>
                <w:right w:val="none" w:sz="0" w:space="0" w:color="auto"/>
              </w:divBdr>
              <w:divsChild>
                <w:div w:id="1067455054">
                  <w:marLeft w:val="0"/>
                  <w:marRight w:val="0"/>
                  <w:marTop w:val="0"/>
                  <w:marBottom w:val="0"/>
                  <w:divBdr>
                    <w:top w:val="none" w:sz="0" w:space="0" w:color="auto"/>
                    <w:left w:val="none" w:sz="0" w:space="0" w:color="auto"/>
                    <w:bottom w:val="none" w:sz="0" w:space="0" w:color="auto"/>
                    <w:right w:val="none" w:sz="0" w:space="0" w:color="auto"/>
                  </w:divBdr>
                  <w:divsChild>
                    <w:div w:id="14240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597863">
      <w:bodyDiv w:val="1"/>
      <w:marLeft w:val="0"/>
      <w:marRight w:val="0"/>
      <w:marTop w:val="0"/>
      <w:marBottom w:val="0"/>
      <w:divBdr>
        <w:top w:val="none" w:sz="0" w:space="0" w:color="auto"/>
        <w:left w:val="none" w:sz="0" w:space="0" w:color="auto"/>
        <w:bottom w:val="none" w:sz="0" w:space="0" w:color="auto"/>
        <w:right w:val="none" w:sz="0" w:space="0" w:color="auto"/>
      </w:divBdr>
    </w:div>
    <w:div w:id="1944871987">
      <w:bodyDiv w:val="1"/>
      <w:marLeft w:val="0"/>
      <w:marRight w:val="0"/>
      <w:marTop w:val="0"/>
      <w:marBottom w:val="0"/>
      <w:divBdr>
        <w:top w:val="none" w:sz="0" w:space="0" w:color="auto"/>
        <w:left w:val="none" w:sz="0" w:space="0" w:color="auto"/>
        <w:bottom w:val="none" w:sz="0" w:space="0" w:color="auto"/>
        <w:right w:val="none" w:sz="0" w:space="0" w:color="auto"/>
      </w:divBdr>
      <w:divsChild>
        <w:div w:id="1917013842">
          <w:marLeft w:val="0"/>
          <w:marRight w:val="0"/>
          <w:marTop w:val="0"/>
          <w:marBottom w:val="0"/>
          <w:divBdr>
            <w:top w:val="none" w:sz="0" w:space="0" w:color="auto"/>
            <w:left w:val="none" w:sz="0" w:space="0" w:color="auto"/>
            <w:bottom w:val="none" w:sz="0" w:space="0" w:color="auto"/>
            <w:right w:val="none" w:sz="0" w:space="0" w:color="auto"/>
          </w:divBdr>
          <w:divsChild>
            <w:div w:id="795680463">
              <w:marLeft w:val="0"/>
              <w:marRight w:val="0"/>
              <w:marTop w:val="0"/>
              <w:marBottom w:val="0"/>
              <w:divBdr>
                <w:top w:val="none" w:sz="0" w:space="0" w:color="auto"/>
                <w:left w:val="none" w:sz="0" w:space="0" w:color="auto"/>
                <w:bottom w:val="none" w:sz="0" w:space="0" w:color="auto"/>
                <w:right w:val="none" w:sz="0" w:space="0" w:color="auto"/>
              </w:divBdr>
              <w:divsChild>
                <w:div w:id="1353267248">
                  <w:marLeft w:val="0"/>
                  <w:marRight w:val="0"/>
                  <w:marTop w:val="0"/>
                  <w:marBottom w:val="0"/>
                  <w:divBdr>
                    <w:top w:val="none" w:sz="0" w:space="0" w:color="auto"/>
                    <w:left w:val="none" w:sz="0" w:space="0" w:color="auto"/>
                    <w:bottom w:val="none" w:sz="0" w:space="0" w:color="auto"/>
                    <w:right w:val="none" w:sz="0" w:space="0" w:color="auto"/>
                  </w:divBdr>
                  <w:divsChild>
                    <w:div w:id="1675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7814">
          <w:marLeft w:val="0"/>
          <w:marRight w:val="0"/>
          <w:marTop w:val="0"/>
          <w:marBottom w:val="0"/>
          <w:divBdr>
            <w:top w:val="none" w:sz="0" w:space="0" w:color="auto"/>
            <w:left w:val="none" w:sz="0" w:space="0" w:color="auto"/>
            <w:bottom w:val="none" w:sz="0" w:space="0" w:color="auto"/>
            <w:right w:val="none" w:sz="0" w:space="0" w:color="auto"/>
          </w:divBdr>
          <w:divsChild>
            <w:div w:id="1285497773">
              <w:marLeft w:val="0"/>
              <w:marRight w:val="0"/>
              <w:marTop w:val="0"/>
              <w:marBottom w:val="0"/>
              <w:divBdr>
                <w:top w:val="none" w:sz="0" w:space="0" w:color="auto"/>
                <w:left w:val="none" w:sz="0" w:space="0" w:color="auto"/>
                <w:bottom w:val="none" w:sz="0" w:space="0" w:color="auto"/>
                <w:right w:val="none" w:sz="0" w:space="0" w:color="auto"/>
              </w:divBdr>
              <w:divsChild>
                <w:div w:id="184446355">
                  <w:marLeft w:val="0"/>
                  <w:marRight w:val="0"/>
                  <w:marTop w:val="0"/>
                  <w:marBottom w:val="0"/>
                  <w:divBdr>
                    <w:top w:val="none" w:sz="0" w:space="0" w:color="auto"/>
                    <w:left w:val="none" w:sz="0" w:space="0" w:color="auto"/>
                    <w:bottom w:val="none" w:sz="0" w:space="0" w:color="auto"/>
                    <w:right w:val="none" w:sz="0" w:space="0" w:color="auto"/>
                  </w:divBdr>
                  <w:divsChild>
                    <w:div w:id="5798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lex.europa.eu/eli/reg/2016/679/oj" TargetMode="External"/><Relationship Id="rId4" Type="http://schemas.openxmlformats.org/officeDocument/2006/relationships/hyperlink" Target="mailto:artem.bv21@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1812</Words>
  <Characters>10335</Characters>
  <Application>Microsoft Office Word</Application>
  <DocSecurity>0</DocSecurity>
  <Lines>86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Артем Боковня</cp:lastModifiedBy>
  <cp:revision>13</cp:revision>
  <dcterms:created xsi:type="dcterms:W3CDTF">2024-06-09T09:24:00Z</dcterms:created>
  <dcterms:modified xsi:type="dcterms:W3CDTF">2024-06-09T21:47:00Z</dcterms:modified>
</cp:coreProperties>
</file>