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D9" w:rsidRPr="00C42605" w:rsidRDefault="00C20CD9" w:rsidP="00C42605">
      <w:pPr>
        <w:spacing w:after="0" w:line="360" w:lineRule="auto"/>
        <w:ind w:right="283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Toc130313827"/>
      <w:r w:rsidRPr="00C42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Анна-Христина </w:t>
      </w:r>
      <w:proofErr w:type="spellStart"/>
      <w:r w:rsidRPr="00C42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Базарницька</w:t>
      </w:r>
      <w:proofErr w:type="spellEnd"/>
    </w:p>
    <w:p w:rsidR="00C20CD9" w:rsidRPr="00C42605" w:rsidRDefault="00C20CD9" w:rsidP="00B27B29">
      <w:pPr>
        <w:spacing w:after="0" w:line="360" w:lineRule="auto"/>
        <w:ind w:right="28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Львівський національний університет імені Івана Франка</w:t>
      </w:r>
      <w:r w:rsidR="00B27B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Львів, Україна</w:t>
      </w:r>
    </w:p>
    <w:p w:rsidR="001C34EC" w:rsidRPr="00C42605" w:rsidRDefault="00C20CD9" w:rsidP="00C42605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b/>
          <w:sz w:val="28"/>
          <w:szCs w:val="28"/>
          <w:lang w:val="uk-UA"/>
        </w:rPr>
        <w:t>НАПРЯМИ ПРОТИДІЇ КІБЕРЗЛОЧИНАМ</w:t>
      </w:r>
      <w:bookmarkEnd w:id="0"/>
    </w:p>
    <w:p w:rsidR="001C34EC" w:rsidRPr="00C42605" w:rsidRDefault="001C34EC" w:rsidP="00C4260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C42605">
        <w:rPr>
          <w:rFonts w:ascii="Times New Roman" w:hAnsi="Times New Roman" w:cs="Times New Roman"/>
          <w:sz w:val="28"/>
          <w:szCs w:val="28"/>
          <w:lang w:val="uk-UA"/>
        </w:rPr>
        <w:t>Кіб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ерзлочини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невідворотний результат глобалізації інформаційних процесів. Простота та легкість, анонімність та доступність – с</w:t>
      </w:r>
      <w:bookmarkStart w:id="1" w:name="_GoBack"/>
      <w:bookmarkEnd w:id="1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аме ті характеристики інформаційних технологій, які приваблюють людство, а також притягують увагу осіб, які коять злочини. Зі збільшенням використання інформаційних технологій у різних сферах людської діяльності збільшується і кількість злочинів, які вчиняються за допомогою їх використання. Щороку кількість потерпілих від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кібершахраїв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постійно зростає. Це зростання є неминучим процесом, адже через недосконале законодавче регулювання відносин у сфері інформаційних технологій не можливо випередити їх розвиток, або ж йти з ним одночасно. </w:t>
      </w:r>
    </w:p>
    <w:p w:rsidR="008472DE" w:rsidRPr="00C42605" w:rsidRDefault="008472DE" w:rsidP="00C4260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Різні питання у сфері кіберзлочинності багаторазово були об’єктом наукових досліджень як вітчизняних, так і зарубіжних учених. Зокрема, цій проблематиці присвячені праці Р. Калюжного, О.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Амеліна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О.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Дзьобаня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Ю. Батуріна, М.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Карчевського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В.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Дзюндзюка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М.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Кравцової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В.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Бутузова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В. Лісового, В.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Номоконова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В. Навроцького, В. Пилипчука, М.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Погорецького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В.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Шеломенцева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В.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Сташиса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О. 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Юрасова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 xml:space="preserve"> та інших. Незважаючи на наявність великої кількості праць, присвячених дослідженню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кіберзлочинів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0"/>
          <w:lang w:val="uk-UA"/>
        </w:rPr>
        <w:t>, існує потреба в подальшому вивченні даного поняття, адже на кожному етапі вона має нові особливості та елементи впливу.</w:t>
      </w:r>
    </w:p>
    <w:p w:rsidR="001C34EC" w:rsidRPr="00C42605" w:rsidRDefault="001C34EC" w:rsidP="00C4260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Нині у світі приділяється значна увага вивченню проблем боротьби зі злодіяннями в кіберпросторі, які спричинені об’єктивними процесами розвитку інформаційно-телекомунікаційних технологій і введенням їх у різні сфери людської діяльності. Тому боротьба з кіберзлочинністю повинна бути пріоритетною функцією у державі. Результати аналізу кіберзлочинності дозволяють передбачати труднощі у боротьбі з нею з через прийоми вчинення комп’ютерних злочинів, які щороку набувають усе більш н</w:t>
      </w:r>
      <w:r w:rsidR="008472DE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ового характеру. До вирішення да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ної проблеми потрібно підходити комплексно.</w:t>
      </w:r>
    </w:p>
    <w:p w:rsidR="001C34EC" w:rsidRPr="00C42605" w:rsidRDefault="00C42605" w:rsidP="00C4260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Фахівці виокрем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люють декілька елементів організації діяльності правоохоронних органів у глобальних інформаційних мережах, серед них: </w:t>
      </w:r>
    </w:p>
    <w:p w:rsidR="001C34EC" w:rsidRPr="00C42605" w:rsidRDefault="001C34EC" w:rsidP="00C42605">
      <w:pPr>
        <w:pStyle w:val="a3"/>
        <w:numPr>
          <w:ilvl w:val="0"/>
          <w:numId w:val="1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вивчення і оцінювання ситуації в мережах; </w:t>
      </w:r>
    </w:p>
    <w:p w:rsidR="001C34EC" w:rsidRPr="00C42605" w:rsidRDefault="001C34EC" w:rsidP="00C42605">
      <w:pPr>
        <w:pStyle w:val="a3"/>
        <w:numPr>
          <w:ilvl w:val="0"/>
          <w:numId w:val="1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найліпшої розстановки сил і засобів, забезпечення взаємодії; </w:t>
      </w:r>
    </w:p>
    <w:p w:rsidR="001C34EC" w:rsidRPr="00C42605" w:rsidRDefault="001C34EC" w:rsidP="00C42605">
      <w:pPr>
        <w:pStyle w:val="a3"/>
        <w:numPr>
          <w:ilvl w:val="0"/>
          <w:numId w:val="1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управління, планування і контроль; </w:t>
      </w:r>
    </w:p>
    <w:p w:rsidR="001C34EC" w:rsidRPr="00C42605" w:rsidRDefault="001C34EC" w:rsidP="00C42605">
      <w:pPr>
        <w:pStyle w:val="a3"/>
        <w:numPr>
          <w:ilvl w:val="0"/>
          <w:numId w:val="1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координація дій суб’єктів правоохоронних органів. </w:t>
      </w:r>
    </w:p>
    <w:p w:rsidR="001C34EC" w:rsidRPr="00C42605" w:rsidRDefault="001C34EC" w:rsidP="00C4260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Сукупність потреб, задоволення яких забезпечує існування і можливість прогресивного розвитку громадян, суспільства та держави – це складова національних інтересів, без здійснення яких нереально забезпечити стабільний стан держави і суспільства, із нормальним розвитком країни як незалежного суб’єкта міжнародних відносин.</w:t>
      </w:r>
    </w:p>
    <w:p w:rsidR="001C34EC" w:rsidRPr="00C42605" w:rsidRDefault="001C34EC" w:rsidP="00C42605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Важливо зазначити, що перелік напрямів державної політики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 може бути статичним, оскільки відбуваються постійні зміни в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кіберсуспільстві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тому існує потреба швидкої реакції та вжиття відповідних заходів.</w:t>
      </w:r>
    </w:p>
    <w:p w:rsidR="001C34EC" w:rsidRPr="00C42605" w:rsidRDefault="001C34EC" w:rsidP="00C42605">
      <w:pPr>
        <w:shd w:val="clear" w:color="auto" w:fill="FFFFFF"/>
        <w:spacing w:after="0" w:line="360" w:lineRule="auto"/>
        <w:ind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Українською проблемою є як недосконале законодавство, так і недостатня кількість державних експертів в області комп’ютерно-технічної експертизи.</w:t>
      </w:r>
    </w:p>
    <w:p w:rsidR="001C34EC" w:rsidRPr="00C42605" w:rsidRDefault="001C34EC" w:rsidP="00C42605">
      <w:pPr>
        <w:shd w:val="clear" w:color="auto" w:fill="FFFFFF"/>
        <w:spacing w:after="0" w:line="360" w:lineRule="auto"/>
        <w:ind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Щодо напрямів державної політики </w:t>
      </w:r>
      <w:proofErr w:type="spellStart"/>
      <w:r w:rsidRPr="00C42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кібербезпеки</w:t>
      </w:r>
      <w:proofErr w:type="spellEnd"/>
      <w:r w:rsidRPr="00C42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то, вона має бути точно визначена та зафіксована в національному законодавстві. Нині такі спроби було зроблено при розробленні проекту Закону України «Про основні засади забезпечення </w:t>
      </w:r>
      <w:proofErr w:type="spellStart"/>
      <w:r w:rsidRPr="00C42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кібербезпеки</w:t>
      </w:r>
      <w:proofErr w:type="spellEnd"/>
      <w:r w:rsidRPr="00C42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України» [1]. 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 даному законі напрями державної політики визначені у такий спосіб :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формування захищеного національного сегмента кіберпростору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яке буде забезпечувати безпечне використання цього простору суспільством;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посилення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кібероборони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запобігання втручанню у внутрішні справи України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і нейтралізація посягань на її інформаційні ресурси з боку інших держав;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забезпечення повноправної участі України в загальноєвропейській та регіональних системах забезпечення 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боротьба з кіберзлочинністю та 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кібертероризмом</w:t>
      </w:r>
      <w:proofErr w:type="spellEnd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дотримання міжнародних зобов’язань у сфері боротьби з 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кібертероризмом</w:t>
      </w:r>
      <w:proofErr w:type="spellEnd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та кіберзлочинністю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1C34EC" w:rsidRPr="00C42605" w:rsidRDefault="001C34EC" w:rsidP="00C4260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послаблення рівня вразливості об’єктів 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кіберзахисту</w:t>
      </w:r>
      <w:proofErr w:type="spellEnd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(в 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т.ч</w:t>
      </w:r>
      <w:proofErr w:type="spellEnd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. об’єктів критичної інформаційної інфраструктури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:rsidR="001C34EC" w:rsidRPr="00C42605" w:rsidRDefault="001C34EC" w:rsidP="00C42605">
      <w:pPr>
        <w:shd w:val="clear" w:color="auto" w:fill="FFFFFF"/>
        <w:spacing w:after="0" w:line="360" w:lineRule="auto"/>
        <w:ind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Основними напрямами державної політики в кібернетичній сфері є:</w:t>
      </w:r>
    </w:p>
    <w:p w:rsidR="001C34EC" w:rsidRPr="00C42605" w:rsidRDefault="001C34EC" w:rsidP="00C4260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забезпечувати інформаційний (кібернетичний) суверенітет України (тобто 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держава має право здійснювати контроль над власним інформаційним простором через організацію управління процесами створення, збирання, одержання, зберігання, використання, поширення, охорони та захисту інформації відповідно до національних інтересів;</w:t>
      </w:r>
    </w:p>
    <w:p w:rsidR="001C34EC" w:rsidRPr="00C42605" w:rsidRDefault="001C34EC" w:rsidP="00C4260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вдосконалюв</w:t>
      </w:r>
      <w:proofErr w:type="spellEnd"/>
      <w:r w:rsidR="00923B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923B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ти державне </w:t>
      </w:r>
      <w:proofErr w:type="spellStart"/>
      <w:r w:rsidR="00923B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регулювa</w:t>
      </w: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ння</w:t>
      </w:r>
      <w:proofErr w:type="spellEnd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інформ</w:t>
      </w:r>
      <w:proofErr w:type="spellEnd"/>
      <w:r w:rsidR="00923B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>a</w:t>
      </w:r>
      <w:proofErr w:type="spellStart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ційної</w:t>
      </w:r>
      <w:proofErr w:type="spellEnd"/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сфери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з</w:t>
      </w:r>
      <w:r w:rsidR="00923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вдяки створенню економічних передумов для розвитку вітчизняної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інформ</w:t>
      </w:r>
      <w:proofErr w:type="spellEnd"/>
      <w:r w:rsidR="00923B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ційної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інфраструктури, впровадження сучасних технологій у даній сфері, наповнення правдивою інформацією про Україну внутрішнього та світового інформаційного простору. А як напрям державної політики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можна визначити здійснення систематизації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кібербезпекового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законодавства України, створення необхідних передумов для розвитку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кіберсфери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цілому, і зокрема формуванню кібернетичної безпеки;</w:t>
      </w:r>
    </w:p>
    <w:p w:rsidR="001C34EC" w:rsidRPr="00C42605" w:rsidRDefault="001C34EC" w:rsidP="00C4260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вживати комплексні заходи щодо захисту національного кіберпростору та протидії монополізації інформаційної сфери України</w:t>
      </w:r>
    </w:p>
    <w:p w:rsidR="001C34EC" w:rsidRPr="00C42605" w:rsidRDefault="001C34EC" w:rsidP="00C42605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активно залучати ЗМІ до запобігання і протидії корупції, зловживанням службовим становищем, іншим явищам, які загрожують національній безпеці України</w:t>
      </w:r>
    </w:p>
    <w:p w:rsidR="001C34EC" w:rsidRPr="00C42605" w:rsidRDefault="001C34EC" w:rsidP="00C42605">
      <w:pPr>
        <w:shd w:val="clear" w:color="auto" w:fill="FFFFFF"/>
        <w:spacing w:after="0" w:line="360" w:lineRule="auto"/>
        <w:ind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Доктрина інформаційної безпеки України визначає національні інтереси України в інформаційній сфері, загрози їх реалізації, напрями і пріоритети державної п</w:t>
      </w:r>
      <w:r w:rsidR="008472DE"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олітики в інформаційній сфері [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2]. Вона виокремлює такі напрями державної політики кібернетичної безпеки [3]: </w:t>
      </w:r>
    </w:p>
    <w:p w:rsidR="001C34EC" w:rsidRPr="00C42605" w:rsidRDefault="001C34EC" w:rsidP="00C4260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iCs/>
          <w:color w:val="000000" w:themeColor="text1"/>
          <w:sz w:val="28"/>
          <w:szCs w:val="28"/>
          <w:lang w:val="uk-UA"/>
        </w:rPr>
        <w:lastRenderedPageBreak/>
        <w:t>необхідність створення цілісної системи моніторингу</w:t>
      </w:r>
      <w:r w:rsidRPr="00C42605">
        <w:rPr>
          <w:color w:val="000000" w:themeColor="text1"/>
          <w:sz w:val="28"/>
          <w:szCs w:val="28"/>
          <w:lang w:val="uk-UA"/>
        </w:rPr>
        <w:t xml:space="preserve"> (аналіз, оцінки, прогноз) </w:t>
      </w:r>
      <w:proofErr w:type="spellStart"/>
      <w:r w:rsidRPr="00C42605">
        <w:rPr>
          <w:color w:val="000000" w:themeColor="text1"/>
          <w:sz w:val="28"/>
          <w:szCs w:val="28"/>
          <w:lang w:val="uk-UA"/>
        </w:rPr>
        <w:t>кіберзагроз</w:t>
      </w:r>
      <w:proofErr w:type="spellEnd"/>
      <w:r w:rsidRPr="00C42605">
        <w:rPr>
          <w:color w:val="000000" w:themeColor="text1"/>
          <w:sz w:val="28"/>
          <w:szCs w:val="28"/>
          <w:lang w:val="uk-UA"/>
        </w:rPr>
        <w:t xml:space="preserve"> та формування способів реагування на них на оперативному, тактичному та стратегічному рівнях;</w:t>
      </w:r>
    </w:p>
    <w:p w:rsidR="001C34EC" w:rsidRPr="00C42605" w:rsidRDefault="001C34EC" w:rsidP="00C4260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iCs/>
          <w:color w:val="000000" w:themeColor="text1"/>
          <w:sz w:val="28"/>
          <w:szCs w:val="28"/>
          <w:lang w:val="uk-UA"/>
        </w:rPr>
        <w:t>вдосконалення системи управління</w:t>
      </w:r>
      <w:r w:rsidRPr="00C42605">
        <w:rPr>
          <w:color w:val="000000" w:themeColor="text1"/>
          <w:sz w:val="28"/>
          <w:szCs w:val="28"/>
          <w:lang w:val="uk-UA"/>
        </w:rPr>
        <w:t xml:space="preserve"> національною системою </w:t>
      </w:r>
      <w:proofErr w:type="spellStart"/>
      <w:r w:rsidRPr="00C42605">
        <w:rPr>
          <w:color w:val="000000" w:themeColor="text1"/>
          <w:sz w:val="28"/>
          <w:szCs w:val="28"/>
          <w:lang w:val="uk-UA"/>
        </w:rPr>
        <w:t>кібербезпеки</w:t>
      </w:r>
      <w:proofErr w:type="spellEnd"/>
      <w:r w:rsidRPr="00C42605">
        <w:rPr>
          <w:color w:val="000000" w:themeColor="text1"/>
          <w:sz w:val="28"/>
          <w:szCs w:val="28"/>
          <w:lang w:val="uk-UA"/>
        </w:rPr>
        <w:t xml:space="preserve"> (підвищувати рівень відповідальності та контролю за виконанням покладених на суб’єкти </w:t>
      </w:r>
      <w:proofErr w:type="spellStart"/>
      <w:r w:rsidRPr="00C42605">
        <w:rPr>
          <w:color w:val="000000" w:themeColor="text1"/>
          <w:sz w:val="28"/>
          <w:szCs w:val="28"/>
          <w:lang w:val="uk-UA"/>
        </w:rPr>
        <w:t>кібербезпеки</w:t>
      </w:r>
      <w:proofErr w:type="spellEnd"/>
      <w:r w:rsidRPr="00C42605">
        <w:rPr>
          <w:color w:val="000000" w:themeColor="text1"/>
          <w:sz w:val="28"/>
          <w:szCs w:val="28"/>
          <w:lang w:val="uk-UA"/>
        </w:rPr>
        <w:t xml:space="preserve"> завдань</w:t>
      </w:r>
      <w:r w:rsidR="0064657C">
        <w:rPr>
          <w:color w:val="000000" w:themeColor="text1"/>
          <w:sz w:val="28"/>
          <w:szCs w:val="28"/>
          <w:lang w:val="uk-UA"/>
        </w:rPr>
        <w:t>)</w:t>
      </w:r>
      <w:r w:rsidRPr="00C42605">
        <w:rPr>
          <w:color w:val="000000" w:themeColor="text1"/>
          <w:sz w:val="28"/>
          <w:szCs w:val="28"/>
          <w:lang w:val="uk-UA"/>
        </w:rPr>
        <w:t>;</w:t>
      </w:r>
    </w:p>
    <w:p w:rsidR="001C34EC" w:rsidRPr="00C42605" w:rsidRDefault="001C34EC" w:rsidP="00C4260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iCs/>
          <w:color w:val="000000" w:themeColor="text1"/>
          <w:sz w:val="28"/>
          <w:szCs w:val="28"/>
          <w:lang w:val="uk-UA"/>
        </w:rPr>
        <w:t>законодавче регулювання</w:t>
      </w:r>
      <w:r w:rsidRPr="00C42605">
        <w:rPr>
          <w:color w:val="000000" w:themeColor="text1"/>
          <w:sz w:val="28"/>
          <w:szCs w:val="28"/>
          <w:lang w:val="uk-UA"/>
        </w:rPr>
        <w:t xml:space="preserve"> механізму виявлення, фіксації, блокування та видалення з кібернетичного простору держави, інформації, що загрожує національним інтересам в </w:t>
      </w:r>
      <w:proofErr w:type="spellStart"/>
      <w:r w:rsidRPr="00C42605">
        <w:rPr>
          <w:color w:val="000000" w:themeColor="text1"/>
          <w:sz w:val="28"/>
          <w:szCs w:val="28"/>
          <w:lang w:val="uk-UA"/>
        </w:rPr>
        <w:t>кіберсфері</w:t>
      </w:r>
      <w:proofErr w:type="spellEnd"/>
      <w:r w:rsidRPr="00C42605">
        <w:rPr>
          <w:color w:val="000000" w:themeColor="text1"/>
          <w:sz w:val="28"/>
          <w:szCs w:val="28"/>
          <w:lang w:val="uk-UA"/>
        </w:rPr>
        <w:t>;</w:t>
      </w:r>
    </w:p>
    <w:p w:rsidR="001C34EC" w:rsidRPr="00C42605" w:rsidRDefault="001C34EC" w:rsidP="00C42605">
      <w:pPr>
        <w:pStyle w:val="a3"/>
        <w:numPr>
          <w:ilvl w:val="0"/>
          <w:numId w:val="5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створення і розвиток структур, що відповідають за інформаційно-психологічну безпеку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насамперед у Збройних Силах України, з урахуванням практики держав-членів НАТО, а також і в Національній поліції –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Кіберполіція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згідно з загальною концепцію розумного балансу розмежування повноважень у реалізації державної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кібербезпекової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політики її суб’єктами (Варто зазначити, що пріоритетами діяльності Національної</w:t>
      </w:r>
      <w:r w:rsidR="00923B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поліції України у сфері розвит</w:t>
      </w: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 інформаційних технологій, уніфікації зв’язку та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кіберзахисту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є: </w:t>
      </w:r>
    </w:p>
    <w:p w:rsidR="001C34EC" w:rsidRPr="00C42605" w:rsidRDefault="001C34EC" w:rsidP="00C42605">
      <w:pPr>
        <w:pStyle w:val="a3"/>
        <w:numPr>
          <w:ilvl w:val="0"/>
          <w:numId w:val="4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Посилення кібернетичної безпеки та створення передумов унеможливлення витоку службової інформації з баз даних Національної поліції; </w:t>
      </w:r>
    </w:p>
    <w:p w:rsidR="001C34EC" w:rsidRPr="00C42605" w:rsidRDefault="001C34EC" w:rsidP="00C42605">
      <w:pPr>
        <w:pStyle w:val="a3"/>
        <w:numPr>
          <w:ilvl w:val="0"/>
          <w:numId w:val="4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Поліцейська діяльність, керована аналітикою – ILP (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Intelligence-Led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Policing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1C34EC" w:rsidRPr="00CB42F2" w:rsidRDefault="001C34EC" w:rsidP="008241C7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4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розвиток і захист технологічної інфраструктури за</w:t>
      </w:r>
      <w:r w:rsidR="00CB42F2" w:rsidRPr="00CB4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безпечення </w:t>
      </w:r>
      <w:proofErr w:type="spellStart"/>
      <w:r w:rsidR="00CB42F2" w:rsidRPr="00CB4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кібербезпеки</w:t>
      </w:r>
      <w:proofErr w:type="spellEnd"/>
      <w:r w:rsidR="00CB42F2" w:rsidRPr="00CB4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та</w:t>
      </w:r>
      <w:r w:rsidR="00CB4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B42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побудова ефективної системи стратегічних комунікацій;</w:t>
      </w:r>
    </w:p>
    <w:p w:rsidR="001C34EC" w:rsidRPr="00C42605" w:rsidRDefault="001C34EC" w:rsidP="00C4260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color w:val="000000" w:themeColor="text1"/>
          <w:sz w:val="28"/>
          <w:szCs w:val="28"/>
          <w:lang w:val="uk-UA"/>
        </w:rPr>
        <w:t xml:space="preserve">розвиток механізмів взаємодії держави та інститутів громадянського суспільства в реалізації державної </w:t>
      </w:r>
      <w:proofErr w:type="spellStart"/>
      <w:r w:rsidRPr="00C42605">
        <w:rPr>
          <w:color w:val="000000" w:themeColor="text1"/>
          <w:sz w:val="28"/>
          <w:szCs w:val="28"/>
          <w:lang w:val="uk-UA"/>
        </w:rPr>
        <w:t>кібербезпекової</w:t>
      </w:r>
      <w:proofErr w:type="spellEnd"/>
      <w:r w:rsidRPr="00C42605">
        <w:rPr>
          <w:color w:val="000000" w:themeColor="text1"/>
          <w:sz w:val="28"/>
          <w:szCs w:val="28"/>
          <w:lang w:val="uk-UA"/>
        </w:rPr>
        <w:t xml:space="preserve"> політики, в тому числі і в частині протидії гібридній війні та одному з її проявів — інформаційній агресії проти України та кібернетичним атакам;</w:t>
      </w:r>
    </w:p>
    <w:p w:rsidR="001C34EC" w:rsidRPr="00C42605" w:rsidRDefault="001C34EC" w:rsidP="0064657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iCs/>
          <w:color w:val="000000" w:themeColor="text1"/>
          <w:sz w:val="28"/>
          <w:szCs w:val="28"/>
          <w:lang w:val="uk-UA"/>
        </w:rPr>
        <w:lastRenderedPageBreak/>
        <w:t xml:space="preserve">ефективна, </w:t>
      </w:r>
      <w:proofErr w:type="spellStart"/>
      <w:r w:rsidRPr="00C42605">
        <w:rPr>
          <w:iCs/>
          <w:color w:val="000000" w:themeColor="text1"/>
          <w:sz w:val="28"/>
          <w:szCs w:val="28"/>
          <w:lang w:val="uk-UA"/>
        </w:rPr>
        <w:t>проактивна</w:t>
      </w:r>
      <w:proofErr w:type="spellEnd"/>
      <w:r w:rsidRPr="00C42605">
        <w:rPr>
          <w:iCs/>
          <w:color w:val="000000" w:themeColor="text1"/>
          <w:sz w:val="28"/>
          <w:szCs w:val="28"/>
          <w:lang w:val="uk-UA"/>
        </w:rPr>
        <w:t xml:space="preserve"> та наступальна боротьба з дезінформацією та ворожою пропагандою з боку Російської Федерації</w:t>
      </w:r>
      <w:r w:rsidRPr="00C42605">
        <w:rPr>
          <w:color w:val="000000" w:themeColor="text1"/>
          <w:sz w:val="28"/>
          <w:szCs w:val="28"/>
          <w:lang w:val="uk-UA"/>
        </w:rPr>
        <w:t xml:space="preserve"> (російська пропаганда негативно впливає на розвиток демократичних європейських країн).</w:t>
      </w:r>
      <w:r w:rsidR="00923B2A">
        <w:rPr>
          <w:color w:val="000000" w:themeColor="text1"/>
          <w:sz w:val="28"/>
          <w:szCs w:val="28"/>
          <w:lang w:val="uk-UA"/>
        </w:rPr>
        <w:t xml:space="preserve"> </w:t>
      </w:r>
    </w:p>
    <w:p w:rsidR="001C34EC" w:rsidRPr="00C42605" w:rsidRDefault="001C34EC" w:rsidP="00C4260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color w:val="000000" w:themeColor="text1"/>
          <w:sz w:val="28"/>
          <w:szCs w:val="28"/>
          <w:lang w:val="uk-UA"/>
        </w:rPr>
        <w:t>недопущення використання кібернетичного простору держави в деструктивних цілях або для дій, що спрямовані на дискредитацію України на міжнародному рівні</w:t>
      </w:r>
    </w:p>
    <w:p w:rsidR="001C34EC" w:rsidRPr="00C42605" w:rsidRDefault="001C34EC" w:rsidP="00C4260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283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C42605">
        <w:rPr>
          <w:color w:val="000000" w:themeColor="text1"/>
          <w:sz w:val="28"/>
          <w:szCs w:val="28"/>
          <w:lang w:val="uk-UA"/>
        </w:rPr>
        <w:t>виявлення та притягнення до відповідальності, забезпечення невідворотності покарання винних згідно з українським законодавством суб’єктів українського кібернетичного простору, що створені та/або використовуються державою-агресором для ведення кібернетичної війни проти України, та унеможливлення їхньої підривної діяльності.</w:t>
      </w:r>
    </w:p>
    <w:p w:rsidR="001C34EC" w:rsidRPr="00C42605" w:rsidRDefault="008F55BE" w:rsidP="00F92CFE">
      <w:pPr>
        <w:shd w:val="clear" w:color="auto" w:fill="FFFFFF"/>
        <w:spacing w:after="0" w:line="360" w:lineRule="auto"/>
        <w:ind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F55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Висновки.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Можна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стверджувати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що політика </w:t>
      </w:r>
      <w:proofErr w:type="spellStart"/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кібербезпеки</w:t>
      </w:r>
      <w:proofErr w:type="spellEnd"/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держави визначається, зосереджуючи увагу на національних інтересах та загрозах кібернетичній безпеці України, а також реалізується шляхом втілення належних концепцій, доктрин, стратегій та програм у різних сферах кібернетичної безпеки відповідно до чинного законодавства.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для протидії злочинам,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вчиняються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кіберпросторі,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постійно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посилювати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безпеку інформаційних систем,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досконалювати законодавство у сфері кібернетичних злочинів,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збільшувати</w:t>
      </w:r>
      <w:r w:rsidR="001C34EC" w:rsidRPr="00C426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відповідальність за вчинення злочинних дій та інформаційних правопорушень у кіберпросторі, розширювати міжнародне співробітництво України у сфері безпечного використання інформаційних ресурсів.</w:t>
      </w:r>
    </w:p>
    <w:p w:rsidR="00381449" w:rsidRPr="00C42605" w:rsidRDefault="00C20CD9" w:rsidP="00F92CFE">
      <w:pPr>
        <w:spacing w:line="36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4260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Список використаних джерел</w:t>
      </w:r>
    </w:p>
    <w:p w:rsidR="008472DE" w:rsidRPr="00C42605" w:rsidRDefault="008472DE" w:rsidP="00C42605">
      <w:pPr>
        <w:pStyle w:val="a3"/>
        <w:numPr>
          <w:ilvl w:val="0"/>
          <w:numId w:val="7"/>
        </w:numPr>
        <w:spacing w:after="0" w:line="360" w:lineRule="auto"/>
        <w:ind w:left="0" w:right="28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2605">
        <w:rPr>
          <w:rFonts w:ascii="Times New Roman" w:hAnsi="Times New Roman" w:cs="Times New Roman"/>
          <w:sz w:val="24"/>
          <w:szCs w:val="24"/>
          <w:lang w:val="uk-UA"/>
        </w:rPr>
        <w:t xml:space="preserve">Про основні засади забезпечення </w:t>
      </w:r>
      <w:proofErr w:type="spellStart"/>
      <w:r w:rsidRPr="00C42605">
        <w:rPr>
          <w:rFonts w:ascii="Times New Roman" w:hAnsi="Times New Roman" w:cs="Times New Roman"/>
          <w:sz w:val="24"/>
          <w:szCs w:val="24"/>
          <w:lang w:val="uk-UA"/>
        </w:rPr>
        <w:t>кібербезпеки</w:t>
      </w:r>
      <w:proofErr w:type="spellEnd"/>
      <w:r w:rsidRPr="00C42605">
        <w:rPr>
          <w:rFonts w:ascii="Times New Roman" w:hAnsi="Times New Roman" w:cs="Times New Roman"/>
          <w:sz w:val="24"/>
          <w:szCs w:val="24"/>
          <w:lang w:val="uk-UA"/>
        </w:rPr>
        <w:t xml:space="preserve"> України: Закон України від 5 жовтня 2017 року № 2163-VIII.</w:t>
      </w:r>
      <w:r w:rsidRPr="00C426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  <w:lang w:val="uk-UA"/>
        </w:rPr>
        <w:t xml:space="preserve"> </w:t>
      </w:r>
      <w:r w:rsidRPr="00C42605">
        <w:rPr>
          <w:rFonts w:ascii="Times New Roman" w:hAnsi="Times New Roman" w:cs="Times New Roman"/>
          <w:sz w:val="24"/>
          <w:szCs w:val="24"/>
          <w:lang w:val="uk-UA"/>
        </w:rPr>
        <w:t>Редакція від 17.08.2022. URL: </w:t>
      </w:r>
      <w:hyperlink r:id="rId7" w:history="1">
        <w:r w:rsidRPr="00C42605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http://surl.li/fnjzs</w:t>
        </w:r>
      </w:hyperlink>
      <w:r w:rsidRPr="00C42605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472DE" w:rsidRPr="00C42605" w:rsidRDefault="008472DE" w:rsidP="00C4260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42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 рішення Ради національної безпеки і оборони України від 29 грудня 2016 року «Про Доктрину інформаційної безпеки України». </w:t>
      </w:r>
      <w:r w:rsidRPr="00C4260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Указ Президента України №47/2017</w:t>
      </w:r>
    </w:p>
    <w:p w:rsidR="008472DE" w:rsidRPr="00C42605" w:rsidRDefault="008472DE" w:rsidP="00C4260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right="283" w:firstLine="709"/>
        <w:jc w:val="both"/>
        <w:textAlignment w:val="baseline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C42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Діордіца</w:t>
      </w:r>
      <w:proofErr w:type="spellEnd"/>
      <w:r w:rsidRPr="00C42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І. В. </w:t>
      </w:r>
      <w:r w:rsidRPr="00C42605">
        <w:rPr>
          <w:rFonts w:ascii="Times New Roman" w:hAnsi="Times New Roman" w:cs="Times New Roman"/>
          <w:sz w:val="24"/>
          <w:szCs w:val="24"/>
          <w:lang w:val="uk-UA"/>
        </w:rPr>
        <w:t xml:space="preserve">Напрями державної </w:t>
      </w:r>
      <w:proofErr w:type="spellStart"/>
      <w:r w:rsidRPr="00C42605">
        <w:rPr>
          <w:rFonts w:ascii="Times New Roman" w:hAnsi="Times New Roman" w:cs="Times New Roman"/>
          <w:sz w:val="24"/>
          <w:szCs w:val="24"/>
          <w:lang w:val="uk-UA"/>
        </w:rPr>
        <w:t>кібербезпекової</w:t>
      </w:r>
      <w:proofErr w:type="spellEnd"/>
      <w:r w:rsidRPr="00C42605">
        <w:rPr>
          <w:rFonts w:ascii="Times New Roman" w:hAnsi="Times New Roman" w:cs="Times New Roman"/>
          <w:sz w:val="24"/>
          <w:szCs w:val="24"/>
          <w:lang w:val="uk-UA"/>
        </w:rPr>
        <w:t xml:space="preserve"> політики</w:t>
      </w:r>
      <w:r w:rsidRPr="00C426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URL</w:t>
      </w:r>
      <w:r w:rsidRPr="00C426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 </w:t>
      </w:r>
      <w:hyperlink r:id="rId8" w:history="1">
        <w:r w:rsidRPr="00C4260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http://surl.li/ftzbq</w:t>
        </w:r>
      </w:hyperlink>
      <w:r w:rsidRPr="00C42605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C20CD9" w:rsidRPr="00C42605" w:rsidRDefault="00C20CD9" w:rsidP="00C42605">
      <w:pPr>
        <w:spacing w:line="360" w:lineRule="auto"/>
        <w:ind w:right="283" w:firstLine="709"/>
        <w:rPr>
          <w:rFonts w:ascii="Times New Roman" w:hAnsi="Times New Roman" w:cs="Times New Roman"/>
          <w:sz w:val="28"/>
          <w:lang w:val="uk-UA"/>
        </w:rPr>
      </w:pPr>
    </w:p>
    <w:sectPr w:rsidR="00C20CD9" w:rsidRPr="00C42605" w:rsidSect="00B27B29">
      <w:head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F7" w:rsidRDefault="004371F7" w:rsidP="00CB42F2">
      <w:pPr>
        <w:spacing w:after="0" w:line="240" w:lineRule="auto"/>
      </w:pPr>
      <w:r>
        <w:separator/>
      </w:r>
    </w:p>
  </w:endnote>
  <w:endnote w:type="continuationSeparator" w:id="0">
    <w:p w:rsidR="004371F7" w:rsidRDefault="004371F7" w:rsidP="00CB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F7" w:rsidRDefault="004371F7" w:rsidP="00CB42F2">
      <w:pPr>
        <w:spacing w:after="0" w:line="240" w:lineRule="auto"/>
      </w:pPr>
      <w:r>
        <w:separator/>
      </w:r>
    </w:p>
  </w:footnote>
  <w:footnote w:type="continuationSeparator" w:id="0">
    <w:p w:rsidR="004371F7" w:rsidRDefault="004371F7" w:rsidP="00CB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89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42F2" w:rsidRPr="00F92CFE" w:rsidRDefault="00CB42F2">
        <w:pPr>
          <w:pStyle w:val="a7"/>
          <w:jc w:val="right"/>
          <w:rPr>
            <w:rFonts w:ascii="Times New Roman" w:hAnsi="Times New Roman" w:cs="Times New Roman"/>
          </w:rPr>
        </w:pPr>
        <w:r w:rsidRPr="00F92CFE">
          <w:rPr>
            <w:rFonts w:ascii="Times New Roman" w:hAnsi="Times New Roman" w:cs="Times New Roman"/>
          </w:rPr>
          <w:fldChar w:fldCharType="begin"/>
        </w:r>
        <w:r w:rsidRPr="00F92CFE">
          <w:rPr>
            <w:rFonts w:ascii="Times New Roman" w:hAnsi="Times New Roman" w:cs="Times New Roman"/>
          </w:rPr>
          <w:instrText>PAGE   \* MERGEFORMAT</w:instrText>
        </w:r>
        <w:r w:rsidRPr="00F92CFE">
          <w:rPr>
            <w:rFonts w:ascii="Times New Roman" w:hAnsi="Times New Roman" w:cs="Times New Roman"/>
          </w:rPr>
          <w:fldChar w:fldCharType="separate"/>
        </w:r>
        <w:r w:rsidR="00B27B29">
          <w:rPr>
            <w:rFonts w:ascii="Times New Roman" w:hAnsi="Times New Roman" w:cs="Times New Roman"/>
            <w:noProof/>
          </w:rPr>
          <w:t>5</w:t>
        </w:r>
        <w:r w:rsidRPr="00F92CFE">
          <w:rPr>
            <w:rFonts w:ascii="Times New Roman" w:hAnsi="Times New Roman" w:cs="Times New Roman"/>
          </w:rPr>
          <w:fldChar w:fldCharType="end"/>
        </w:r>
      </w:p>
    </w:sdtContent>
  </w:sdt>
  <w:p w:rsidR="00CB42F2" w:rsidRDefault="00CB4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2088C"/>
    <w:multiLevelType w:val="hybridMultilevel"/>
    <w:tmpl w:val="3CD2A6C8"/>
    <w:lvl w:ilvl="0" w:tplc="B70CB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226CF"/>
    <w:multiLevelType w:val="hybridMultilevel"/>
    <w:tmpl w:val="226870EC"/>
    <w:lvl w:ilvl="0" w:tplc="B70CB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2444B"/>
    <w:multiLevelType w:val="hybridMultilevel"/>
    <w:tmpl w:val="86B69284"/>
    <w:lvl w:ilvl="0" w:tplc="B70CB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3244C"/>
    <w:multiLevelType w:val="hybridMultilevel"/>
    <w:tmpl w:val="16CC15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BD07E83"/>
    <w:multiLevelType w:val="hybridMultilevel"/>
    <w:tmpl w:val="7AD6EA30"/>
    <w:lvl w:ilvl="0" w:tplc="0419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5E441A8B"/>
    <w:multiLevelType w:val="hybridMultilevel"/>
    <w:tmpl w:val="F4B6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C1168"/>
    <w:multiLevelType w:val="hybridMultilevel"/>
    <w:tmpl w:val="4C36162C"/>
    <w:lvl w:ilvl="0" w:tplc="B70CB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EC"/>
    <w:rsid w:val="001C34EC"/>
    <w:rsid w:val="00381449"/>
    <w:rsid w:val="004371F7"/>
    <w:rsid w:val="00490F98"/>
    <w:rsid w:val="0064657C"/>
    <w:rsid w:val="008472DE"/>
    <w:rsid w:val="008F55BE"/>
    <w:rsid w:val="00923B2A"/>
    <w:rsid w:val="00B27B29"/>
    <w:rsid w:val="00C20CD9"/>
    <w:rsid w:val="00C42605"/>
    <w:rsid w:val="00CB42F2"/>
    <w:rsid w:val="00F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F5ECA-7561-4624-BBEF-1B79A7F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EC"/>
  </w:style>
  <w:style w:type="paragraph" w:styleId="1">
    <w:name w:val="heading 1"/>
    <w:basedOn w:val="a"/>
    <w:next w:val="a"/>
    <w:link w:val="10"/>
    <w:uiPriority w:val="9"/>
    <w:qFormat/>
    <w:rsid w:val="001C34E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E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1C34EC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C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0CD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3B2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B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42F2"/>
  </w:style>
  <w:style w:type="paragraph" w:styleId="a9">
    <w:name w:val="footer"/>
    <w:basedOn w:val="a"/>
    <w:link w:val="aa"/>
    <w:uiPriority w:val="99"/>
    <w:unhideWhenUsed/>
    <w:rsid w:val="00CB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ftzb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fnj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2023-05-30T10:59:00Z</dcterms:created>
  <dcterms:modified xsi:type="dcterms:W3CDTF">2023-05-30T15:23:00Z</dcterms:modified>
</cp:coreProperties>
</file>