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BD" w:rsidRDefault="00753DBD" w:rsidP="00753DB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  <w:proofErr w:type="spellStart"/>
      <w:r w:rsidRPr="003C1AC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Архірейська</w:t>
      </w:r>
      <w:proofErr w:type="spellEnd"/>
      <w:r w:rsidRPr="003C1AC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Наталя </w:t>
      </w:r>
      <w:proofErr w:type="spellStart"/>
      <w:r w:rsidRPr="003C1AC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Вікторівна</w:t>
      </w:r>
      <w:proofErr w:type="spellEnd"/>
      <w:r w:rsidRPr="003C1ACD">
        <w:rPr>
          <w:rFonts w:ascii="Times New Roman" w:hAnsi="Times New Roman" w:cs="Times New Roman"/>
          <w:sz w:val="28"/>
          <w:szCs w:val="28"/>
          <w:lang w:val="uk-UA"/>
        </w:rPr>
        <w:t>, к</w:t>
      </w:r>
      <w:proofErr w:type="spellStart"/>
      <w:r w:rsidRPr="003C1AC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андидат</w:t>
      </w:r>
      <w:proofErr w:type="spellEnd"/>
      <w:r w:rsidRPr="003C1AC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C1AC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економічних</w:t>
      </w:r>
      <w:proofErr w:type="spellEnd"/>
      <w:r w:rsidRPr="003C1AC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наук</w:t>
      </w:r>
      <w:r w:rsidRPr="003C1A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C1AC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</w:t>
      </w:r>
      <w:proofErr w:type="spellStart"/>
      <w:r w:rsidRPr="003C1AC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оцент</w:t>
      </w:r>
      <w:proofErr w:type="spellEnd"/>
      <w:r w:rsidRPr="003C1AC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</w:t>
      </w:r>
      <w:r w:rsidRPr="003C1ACD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 </w:t>
      </w:r>
      <w:r w:rsidRPr="0030592E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Університет митної справи та фінансів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, </w:t>
      </w:r>
      <w:r w:rsidRPr="0030592E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м. Дніпро</w:t>
      </w:r>
    </w:p>
    <w:p w:rsidR="00753DBD" w:rsidRPr="003C1ACD" w:rsidRDefault="00B839E5" w:rsidP="00753DBD">
      <w:pPr>
        <w:spacing w:after="0" w:line="360" w:lineRule="auto"/>
        <w:jc w:val="right"/>
        <w:rPr>
          <w:lang w:val="uk-UA"/>
        </w:rPr>
      </w:pPr>
      <w:proofErr w:type="spellStart"/>
      <w:r w:rsidRPr="003C1ACD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Нашко</w:t>
      </w:r>
      <w:proofErr w:type="spellEnd"/>
      <w:r w:rsidRPr="003C1ACD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 Ілона Петрівна, студентка</w:t>
      </w:r>
      <w:r w:rsidR="00753DBD" w:rsidRPr="003C1ACD"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,</w:t>
      </w:r>
      <w:r w:rsidR="00753DBD" w:rsidRPr="003C1ACD">
        <w:t xml:space="preserve"> </w:t>
      </w:r>
    </w:p>
    <w:p w:rsidR="00D03C5F" w:rsidRDefault="00753DBD" w:rsidP="00D03C5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753DBD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Університет митної справи та фінансів, м. Дніпро</w:t>
      </w:r>
      <w:r w:rsidR="00D03C5F" w:rsidRPr="00D03C5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</w:p>
    <w:p w:rsidR="00B839E5" w:rsidRPr="00D03C5F" w:rsidRDefault="00D03C5F" w:rsidP="00D03C5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</w:pPr>
      <w:r w:rsidRPr="00B839E5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ORCID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:</w:t>
      </w:r>
      <w:r w:rsidRPr="00D03C5F">
        <w:rPr>
          <w:lang w:val="uk"/>
        </w:rPr>
        <w:t xml:space="preserve"> </w:t>
      </w:r>
      <w:hyperlink r:id="rId6" w:history="1">
        <w:r w:rsidRPr="003E16E4">
          <w:rPr>
            <w:rStyle w:val="a3"/>
            <w:rFonts w:ascii="Times New Roman" w:eastAsia="Times New Roman" w:hAnsi="Times New Roman" w:cs="Times New Roman"/>
            <w:sz w:val="28"/>
            <w:szCs w:val="28"/>
            <w:lang w:val="uk" w:eastAsia="uk-UA"/>
          </w:rPr>
          <w:t>https://orcid.org/0000-0001-9867-6655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>Архірейська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" w:eastAsia="uk-UA"/>
        </w:rPr>
        <w:t xml:space="preserve"> Н.В</w:t>
      </w:r>
    </w:p>
    <w:p w:rsidR="00930360" w:rsidRPr="00B839E5" w:rsidRDefault="00930360" w:rsidP="00B839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39E5">
        <w:rPr>
          <w:rFonts w:ascii="Times New Roman" w:hAnsi="Times New Roman" w:cs="Times New Roman"/>
          <w:b/>
          <w:sz w:val="28"/>
          <w:szCs w:val="28"/>
        </w:rPr>
        <w:t>ПЕРСП</w:t>
      </w:r>
      <w:r w:rsidR="00B839E5">
        <w:rPr>
          <w:rFonts w:ascii="Times New Roman" w:hAnsi="Times New Roman" w:cs="Times New Roman"/>
          <w:b/>
          <w:sz w:val="28"/>
          <w:szCs w:val="28"/>
        </w:rPr>
        <w:t>ЕКТИВИ РОЗВИТКУ ЦИФРОВОЇ ВАЛЮТИ</w:t>
      </w:r>
      <w:r w:rsidR="00B839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839E5">
        <w:rPr>
          <w:rFonts w:ascii="Times New Roman" w:hAnsi="Times New Roman" w:cs="Times New Roman"/>
          <w:b/>
          <w:sz w:val="28"/>
          <w:szCs w:val="28"/>
        </w:rPr>
        <w:t>ЦЕНТРАЛЬНОГО БАНКУ (CBDC) В УКРАЇНІ</w:t>
      </w:r>
    </w:p>
    <w:p w:rsidR="00DB3F83" w:rsidRDefault="00DB3F83" w:rsidP="00072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B3F83">
        <w:rPr>
          <w:rFonts w:ascii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 w:rsidRPr="00DB3F83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фінансової сфери у світі формує нові умови для реаліза</w:t>
      </w:r>
      <w:r w:rsidR="00004320">
        <w:rPr>
          <w:rFonts w:ascii="Times New Roman" w:hAnsi="Times New Roman" w:cs="Times New Roman"/>
          <w:sz w:val="28"/>
          <w:szCs w:val="28"/>
          <w:lang w:val="uk-UA"/>
        </w:rPr>
        <w:t>ції грошово-кредитної політики</w:t>
      </w:r>
      <w:r w:rsidRPr="00DB3F83">
        <w:rPr>
          <w:rFonts w:ascii="Times New Roman" w:hAnsi="Times New Roman" w:cs="Times New Roman"/>
          <w:sz w:val="28"/>
          <w:szCs w:val="28"/>
          <w:lang w:val="uk-UA"/>
        </w:rPr>
        <w:t xml:space="preserve">. Серед </w:t>
      </w:r>
      <w:r>
        <w:rPr>
          <w:rFonts w:ascii="Times New Roman" w:hAnsi="Times New Roman" w:cs="Times New Roman"/>
          <w:sz w:val="28"/>
          <w:szCs w:val="28"/>
          <w:lang w:val="uk-UA"/>
        </w:rPr>
        <w:t>сучасних</w:t>
      </w:r>
      <w:r w:rsidRPr="00DB3F83">
        <w:rPr>
          <w:rFonts w:ascii="Times New Roman" w:hAnsi="Times New Roman" w:cs="Times New Roman"/>
          <w:sz w:val="28"/>
          <w:szCs w:val="28"/>
          <w:lang w:val="uk-UA"/>
        </w:rPr>
        <w:t xml:space="preserve"> інструментів, що можуть вплинути на подальший розвиток фінансових систем, важливу роль відіграє ци</w:t>
      </w:r>
      <w:r>
        <w:rPr>
          <w:rFonts w:ascii="Times New Roman" w:hAnsi="Times New Roman" w:cs="Times New Roman"/>
          <w:sz w:val="28"/>
          <w:szCs w:val="28"/>
          <w:lang w:val="uk-UA"/>
        </w:rPr>
        <w:t>фрова валюта центрального банку</w:t>
      </w:r>
      <w:r w:rsidR="00E67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DB3F83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DB3F83">
        <w:rPr>
          <w:rFonts w:ascii="Times New Roman" w:hAnsi="Times New Roman" w:cs="Times New Roman"/>
          <w:sz w:val="28"/>
          <w:szCs w:val="28"/>
        </w:rPr>
        <w:t>Central</w:t>
      </w:r>
      <w:proofErr w:type="spellEnd"/>
      <w:r w:rsidRPr="00DB3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3F83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DB3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3F83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DB3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3F83">
        <w:rPr>
          <w:rFonts w:ascii="Times New Roman" w:hAnsi="Times New Roman" w:cs="Times New Roman"/>
          <w:sz w:val="28"/>
          <w:szCs w:val="28"/>
        </w:rPr>
        <w:t>Currency</w:t>
      </w:r>
      <w:proofErr w:type="spellEnd"/>
      <w:r w:rsidRPr="00DB3F83">
        <w:rPr>
          <w:rFonts w:ascii="Times New Roman" w:hAnsi="Times New Roman" w:cs="Times New Roman"/>
          <w:sz w:val="28"/>
          <w:szCs w:val="28"/>
          <w:lang w:val="uk-UA"/>
        </w:rPr>
        <w:t xml:space="preserve">). Для України, що переживає війну, відчуває макрофінансові дисбаланси та потребує дієвих заходів для відновлення економіки, питання впровадження цього інструменту стає надзвичайно </w:t>
      </w:r>
      <w:r>
        <w:rPr>
          <w:rFonts w:ascii="Times New Roman" w:hAnsi="Times New Roman" w:cs="Times New Roman"/>
          <w:sz w:val="28"/>
          <w:szCs w:val="28"/>
          <w:lang w:val="uk-UA"/>
        </w:rPr>
        <w:t>актуальним</w:t>
      </w:r>
      <w:r w:rsidRPr="00DB3F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7888" w:rsidRPr="00B51320" w:rsidRDefault="00930360" w:rsidP="00072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F83">
        <w:rPr>
          <w:rFonts w:ascii="Times New Roman" w:hAnsi="Times New Roman" w:cs="Times New Roman"/>
          <w:sz w:val="28"/>
          <w:szCs w:val="28"/>
          <w:lang w:val="uk-UA"/>
        </w:rPr>
        <w:t>Цифрові валюти центральних банків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F83">
        <w:rPr>
          <w:rFonts w:ascii="Times New Roman" w:hAnsi="Times New Roman" w:cs="Times New Roman"/>
          <w:sz w:val="28"/>
          <w:szCs w:val="28"/>
          <w:lang w:val="uk-UA"/>
        </w:rPr>
        <w:t xml:space="preserve">– це цифрова форма національних грошей, </w:t>
      </w:r>
      <w:r w:rsidR="002F2192" w:rsidRPr="00DB3F83">
        <w:rPr>
          <w:rFonts w:ascii="Times New Roman" w:hAnsi="Times New Roman" w:cs="Times New Roman"/>
          <w:sz w:val="28"/>
          <w:szCs w:val="28"/>
          <w:lang w:val="uk-UA"/>
        </w:rPr>
        <w:t>що управляється і контролюється державою</w:t>
      </w:r>
      <w:r w:rsidRPr="00DB3F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2192" w:rsidRPr="002F2192">
        <w:rPr>
          <w:rFonts w:ascii="Times New Roman" w:hAnsi="Times New Roman" w:cs="Times New Roman"/>
          <w:sz w:val="28"/>
          <w:szCs w:val="28"/>
        </w:rPr>
        <w:t xml:space="preserve">Вони </w:t>
      </w:r>
      <w:proofErr w:type="spellStart"/>
      <w:r w:rsidR="002F2192" w:rsidRPr="002F219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2F2192" w:rsidRPr="002F2192">
        <w:rPr>
          <w:rFonts w:ascii="Times New Roman" w:hAnsi="Times New Roman" w:cs="Times New Roman"/>
          <w:sz w:val="28"/>
          <w:szCs w:val="28"/>
        </w:rPr>
        <w:t xml:space="preserve"> статус законного </w:t>
      </w:r>
      <w:proofErr w:type="spellStart"/>
      <w:r w:rsidR="002F2192" w:rsidRPr="002F2192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="002F2192" w:rsidRPr="002F2192">
        <w:rPr>
          <w:rFonts w:ascii="Times New Roman" w:hAnsi="Times New Roman" w:cs="Times New Roman"/>
          <w:sz w:val="28"/>
          <w:szCs w:val="28"/>
        </w:rPr>
        <w:t xml:space="preserve"> платежу і є прямим </w:t>
      </w:r>
      <w:proofErr w:type="spellStart"/>
      <w:r w:rsidR="002F2192" w:rsidRPr="002F2192">
        <w:rPr>
          <w:rFonts w:ascii="Times New Roman" w:hAnsi="Times New Roman" w:cs="Times New Roman"/>
          <w:sz w:val="28"/>
          <w:szCs w:val="28"/>
        </w:rPr>
        <w:t>зобов'язанням</w:t>
      </w:r>
      <w:proofErr w:type="spellEnd"/>
      <w:r w:rsidR="002F2192" w:rsidRPr="002F2192">
        <w:rPr>
          <w:rFonts w:ascii="Times New Roman" w:hAnsi="Times New Roman" w:cs="Times New Roman"/>
          <w:sz w:val="28"/>
          <w:szCs w:val="28"/>
        </w:rPr>
        <w:t xml:space="preserve"> центрального банку</w:t>
      </w:r>
      <w:r w:rsidR="00B12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2E14"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2192" w:rsidRPr="002F2192">
        <w:rPr>
          <w:rFonts w:ascii="Times New Roman" w:hAnsi="Times New Roman" w:cs="Times New Roman"/>
          <w:sz w:val="28"/>
          <w:szCs w:val="28"/>
          <w:lang w:val="uk-UA"/>
        </w:rPr>
        <w:t xml:space="preserve">Розробкою цієї технології займаються провідні країни світу. За інформацією </w:t>
      </w:r>
      <w:proofErr w:type="spellStart"/>
      <w:r w:rsidR="002F2192" w:rsidRPr="002F2192">
        <w:rPr>
          <w:rFonts w:ascii="Times New Roman" w:hAnsi="Times New Roman" w:cs="Times New Roman"/>
          <w:sz w:val="28"/>
          <w:szCs w:val="28"/>
          <w:lang w:val="uk-UA"/>
        </w:rPr>
        <w:t>Atlantic</w:t>
      </w:r>
      <w:proofErr w:type="spellEnd"/>
      <w:r w:rsidR="002F2192" w:rsidRPr="002F21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2192" w:rsidRPr="002F2192">
        <w:rPr>
          <w:rFonts w:ascii="Times New Roman" w:hAnsi="Times New Roman" w:cs="Times New Roman"/>
          <w:sz w:val="28"/>
          <w:szCs w:val="28"/>
          <w:lang w:val="uk-UA"/>
        </w:rPr>
        <w:t>Council</w:t>
      </w:r>
      <w:proofErr w:type="spellEnd"/>
      <w:r w:rsidR="002F2192" w:rsidRPr="002F21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21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1320">
        <w:rPr>
          <w:rFonts w:ascii="Times New Roman" w:hAnsi="Times New Roman" w:cs="Times New Roman"/>
          <w:sz w:val="28"/>
          <w:szCs w:val="28"/>
          <w:lang w:val="uk-UA"/>
        </w:rPr>
        <w:t xml:space="preserve">станом </w:t>
      </w:r>
      <w:r w:rsidR="00B12E14">
        <w:rPr>
          <w:rFonts w:ascii="Times New Roman" w:hAnsi="Times New Roman" w:cs="Times New Roman"/>
          <w:sz w:val="28"/>
          <w:szCs w:val="28"/>
          <w:lang w:val="uk-UA"/>
        </w:rPr>
        <w:t>на липень 2025</w:t>
      </w:r>
      <w:r w:rsidRPr="00B51320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B12E14" w:rsidRPr="00B12E14">
        <w:rPr>
          <w:rFonts w:ascii="Times New Roman" w:hAnsi="Times New Roman" w:cs="Times New Roman"/>
          <w:sz w:val="28"/>
          <w:szCs w:val="28"/>
          <w:lang w:val="uk-UA"/>
        </w:rPr>
        <w:t xml:space="preserve">137 країн та валютних </w:t>
      </w:r>
      <w:r w:rsidR="002F2192" w:rsidRPr="002F2192">
        <w:rPr>
          <w:rFonts w:ascii="Times New Roman" w:hAnsi="Times New Roman" w:cs="Times New Roman"/>
          <w:sz w:val="28"/>
          <w:szCs w:val="28"/>
          <w:lang w:val="uk-UA"/>
        </w:rPr>
        <w:t>об'єднань</w:t>
      </w:r>
      <w:r w:rsidR="00B12E14" w:rsidRPr="00B12E14">
        <w:rPr>
          <w:rFonts w:ascii="Times New Roman" w:hAnsi="Times New Roman" w:cs="Times New Roman"/>
          <w:sz w:val="28"/>
          <w:szCs w:val="28"/>
          <w:lang w:val="uk-UA"/>
        </w:rPr>
        <w:t>, які представляють 98% світового ВВП, розглядають можливість впровадження цифрових валют центральних банків [</w:t>
      </w:r>
      <w:r w:rsidR="00B12E14">
        <w:rPr>
          <w:rFonts w:ascii="Times New Roman" w:hAnsi="Times New Roman" w:cs="Times New Roman"/>
          <w:sz w:val="28"/>
          <w:szCs w:val="28"/>
          <w:lang w:val="uk-UA"/>
        </w:rPr>
        <w:t>4].</w:t>
      </w:r>
      <w:r w:rsidRPr="00B51320">
        <w:rPr>
          <w:rFonts w:ascii="Times New Roman" w:hAnsi="Times New Roman" w:cs="Times New Roman"/>
          <w:sz w:val="28"/>
          <w:szCs w:val="28"/>
          <w:lang w:val="uk-UA"/>
        </w:rPr>
        <w:t xml:space="preserve"> Головним стимулом таких досліджень є стрімка </w:t>
      </w:r>
      <w:proofErr w:type="spellStart"/>
      <w:r w:rsidRPr="00B51320">
        <w:rPr>
          <w:rFonts w:ascii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 w:rsidRPr="00B51320">
        <w:rPr>
          <w:rFonts w:ascii="Times New Roman" w:hAnsi="Times New Roman" w:cs="Times New Roman"/>
          <w:sz w:val="28"/>
          <w:szCs w:val="28"/>
          <w:lang w:val="uk-UA"/>
        </w:rPr>
        <w:t xml:space="preserve"> економіки, що потребує нових безготівкових способів розрахунк</w:t>
      </w:r>
      <w:r w:rsidR="00753DB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51320">
        <w:rPr>
          <w:rFonts w:ascii="Times New Roman" w:hAnsi="Times New Roman" w:cs="Times New Roman"/>
          <w:sz w:val="28"/>
          <w:szCs w:val="28"/>
          <w:lang w:val="uk-UA"/>
        </w:rPr>
        <w:t xml:space="preserve"> із вищою швидкістю та зручністю</w:t>
      </w:r>
      <w:r w:rsidR="00753D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67BB" w:rsidRDefault="001E67BB" w:rsidP="00072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7BB">
        <w:rPr>
          <w:rFonts w:ascii="Times New Roman" w:hAnsi="Times New Roman" w:cs="Times New Roman"/>
          <w:sz w:val="28"/>
          <w:szCs w:val="28"/>
          <w:lang w:val="uk-UA"/>
        </w:rPr>
        <w:t xml:space="preserve">В Україні ідея </w:t>
      </w:r>
      <w:r w:rsidRPr="00B51320">
        <w:rPr>
          <w:rFonts w:ascii="Times New Roman" w:hAnsi="Times New Roman" w:cs="Times New Roman"/>
          <w:sz w:val="28"/>
          <w:szCs w:val="28"/>
          <w:lang w:val="en-US"/>
        </w:rPr>
        <w:t>CBDC</w:t>
      </w:r>
      <w:r w:rsidRPr="001E67BB">
        <w:rPr>
          <w:rFonts w:ascii="Times New Roman" w:hAnsi="Times New Roman" w:cs="Times New Roman"/>
          <w:sz w:val="28"/>
          <w:szCs w:val="28"/>
          <w:lang w:val="uk-UA"/>
        </w:rPr>
        <w:t xml:space="preserve"> – «е-гривні» – перебуває у стадії розробки й досліджень. </w:t>
      </w:r>
      <w:r w:rsidR="00B51320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Pr="001E67BB">
        <w:rPr>
          <w:rFonts w:ascii="Times New Roman" w:hAnsi="Times New Roman" w:cs="Times New Roman"/>
          <w:sz w:val="28"/>
          <w:szCs w:val="28"/>
          <w:lang w:val="uk-UA"/>
        </w:rPr>
        <w:t xml:space="preserve"> у 2016 році Національний банк України (НБУ) розпочав вивчення можливості випуску власної цифрової валюти</w:t>
      </w:r>
      <w:r w:rsidR="00C309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E67BB">
        <w:rPr>
          <w:rFonts w:ascii="Times New Roman" w:hAnsi="Times New Roman" w:cs="Times New Roman"/>
          <w:sz w:val="28"/>
          <w:szCs w:val="28"/>
          <w:lang w:val="uk-UA"/>
        </w:rPr>
        <w:t xml:space="preserve">Вперше в законодавстві цифрові гроші НБУ було закріплено у Законі України «Про платіжні послуги», де визначено: </w:t>
      </w:r>
      <w:r w:rsidRPr="00C30920">
        <w:rPr>
          <w:rFonts w:ascii="Times New Roman" w:hAnsi="Times New Roman" w:cs="Times New Roman"/>
          <w:bCs/>
          <w:sz w:val="28"/>
          <w:szCs w:val="28"/>
          <w:lang w:val="uk-UA"/>
        </w:rPr>
        <w:t>«Цифрові гроші Національного банку України – це електронна форма грошової одиниці України, емітентом якої є НБУ»</w:t>
      </w:r>
      <w:r w:rsidR="0066772E" w:rsidRPr="00667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4A73" w:rsidRPr="00694A73">
        <w:rPr>
          <w:rFonts w:ascii="Times New Roman" w:hAnsi="Times New Roman" w:cs="Times New Roman"/>
          <w:sz w:val="28"/>
          <w:szCs w:val="28"/>
          <w:lang w:val="uk-UA"/>
        </w:rPr>
        <w:t>[2]</w:t>
      </w:r>
      <w:r w:rsidR="0066772E" w:rsidRPr="006677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E6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ACD">
        <w:rPr>
          <w:rFonts w:ascii="Times New Roman" w:hAnsi="Times New Roman" w:cs="Times New Roman"/>
          <w:sz w:val="28"/>
          <w:szCs w:val="28"/>
          <w:lang w:val="uk-UA"/>
        </w:rPr>
        <w:t>Вже у</w:t>
      </w:r>
      <w:r w:rsidR="00200BB4">
        <w:rPr>
          <w:rFonts w:ascii="Times New Roman" w:hAnsi="Times New Roman" w:cs="Times New Roman"/>
          <w:sz w:val="28"/>
          <w:szCs w:val="28"/>
          <w:lang w:val="uk-UA"/>
        </w:rPr>
        <w:t xml:space="preserve"> 2022 році було зареєстровано торгову марку, яка належить НБУ та </w:t>
      </w:r>
      <w:r w:rsidR="00200B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представляє «е-гривню». </w:t>
      </w:r>
      <w:proofErr w:type="spellStart"/>
      <w:r w:rsidRPr="001E67BB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1E67BB">
        <w:rPr>
          <w:rFonts w:ascii="Times New Roman" w:hAnsi="Times New Roman" w:cs="Times New Roman"/>
          <w:sz w:val="28"/>
          <w:szCs w:val="28"/>
        </w:rPr>
        <w:t>, нормативно-</w:t>
      </w:r>
      <w:proofErr w:type="spellStart"/>
      <w:r w:rsidRPr="001E67BB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1E67BB">
        <w:rPr>
          <w:rFonts w:ascii="Times New Roman" w:hAnsi="Times New Roman" w:cs="Times New Roman"/>
          <w:sz w:val="28"/>
          <w:szCs w:val="28"/>
        </w:rPr>
        <w:t xml:space="preserve"> база для </w:t>
      </w:r>
      <w:proofErr w:type="spellStart"/>
      <w:r w:rsidRPr="001E67BB">
        <w:rPr>
          <w:rFonts w:ascii="Times New Roman" w:hAnsi="Times New Roman" w:cs="Times New Roman"/>
          <w:sz w:val="28"/>
          <w:szCs w:val="28"/>
        </w:rPr>
        <w:t>подальшої</w:t>
      </w:r>
      <w:proofErr w:type="spellEnd"/>
      <w:r w:rsidRPr="001E6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7BB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1E67BB">
        <w:rPr>
          <w:rFonts w:ascii="Times New Roman" w:hAnsi="Times New Roman" w:cs="Times New Roman"/>
          <w:sz w:val="28"/>
          <w:szCs w:val="28"/>
        </w:rPr>
        <w:t xml:space="preserve"> CBDC в </w:t>
      </w:r>
      <w:proofErr w:type="spellStart"/>
      <w:r w:rsidRPr="001E67B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E67BB">
        <w:rPr>
          <w:rFonts w:ascii="Times New Roman" w:hAnsi="Times New Roman" w:cs="Times New Roman"/>
          <w:sz w:val="28"/>
          <w:szCs w:val="28"/>
        </w:rPr>
        <w:t xml:space="preserve"> сформована.</w:t>
      </w:r>
      <w:r w:rsidR="00C30920" w:rsidRPr="00C30920">
        <w:t xml:space="preserve"> </w:t>
      </w:r>
      <w:r w:rsidR="00C30920" w:rsidRPr="00C3092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ухвалення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законним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платіжним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і</w:t>
      </w:r>
      <w:r w:rsidR="00C30920">
        <w:rPr>
          <w:rFonts w:ascii="Times New Roman" w:hAnsi="Times New Roman" w:cs="Times New Roman"/>
          <w:sz w:val="28"/>
          <w:szCs w:val="28"/>
        </w:rPr>
        <w:t>снуватиме</w:t>
      </w:r>
      <w:proofErr w:type="spellEnd"/>
      <w:r w:rsid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="00C3092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30920">
        <w:rPr>
          <w:rFonts w:ascii="Times New Roman" w:hAnsi="Times New Roman" w:cs="Times New Roman"/>
          <w:sz w:val="28"/>
          <w:szCs w:val="28"/>
        </w:rPr>
        <w:t>електронній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доповнюючи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готівкову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безготівкову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гр</w:t>
      </w:r>
      <w:r w:rsidR="00C30920">
        <w:rPr>
          <w:rFonts w:ascii="Times New Roman" w:hAnsi="Times New Roman" w:cs="Times New Roman"/>
          <w:sz w:val="28"/>
          <w:szCs w:val="28"/>
        </w:rPr>
        <w:t>ивні</w:t>
      </w:r>
      <w:proofErr w:type="spellEnd"/>
      <w:r w:rsidR="00C309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30920" w:rsidRPr="00C30920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матиме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відмінну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технологічну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обігу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>.</w:t>
      </w:r>
    </w:p>
    <w:p w:rsidR="00C30920" w:rsidRPr="00B51320" w:rsidRDefault="001B1525" w:rsidP="00072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Першим аспектом, за аналізом думок аналітиків та НБУ, що виокремлюють</w:t>
      </w:r>
      <w:r w:rsidR="00C30920" w:rsidRPr="001B1525">
        <w:rPr>
          <w:rFonts w:ascii="Times New Roman" w:hAnsi="Times New Roman" w:cs="Times New Roman"/>
          <w:sz w:val="28"/>
          <w:szCs w:val="28"/>
          <w:lang w:val="uk-UA"/>
        </w:rPr>
        <w:t xml:space="preserve"> низку переваг від можливого впровадження </w:t>
      </w:r>
      <w:r w:rsidR="00C30920" w:rsidRPr="00C30920">
        <w:rPr>
          <w:rFonts w:ascii="Times New Roman" w:hAnsi="Times New Roman" w:cs="Times New Roman"/>
          <w:sz w:val="28"/>
          <w:szCs w:val="28"/>
        </w:rPr>
        <w:t>CBDC</w:t>
      </w:r>
      <w:r w:rsidR="00C30920" w:rsidRPr="001B1525">
        <w:rPr>
          <w:rFonts w:ascii="Times New Roman" w:hAnsi="Times New Roman" w:cs="Times New Roman"/>
          <w:sz w:val="28"/>
          <w:szCs w:val="28"/>
          <w:lang w:val="uk-UA"/>
        </w:rPr>
        <w:t xml:space="preserve">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, є</w:t>
      </w:r>
      <w:r w:rsidR="00C756E0" w:rsidRPr="001B1525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якості платіжної інфраструктури і зменшення витрат</w:t>
      </w:r>
      <w:r w:rsidR="00C30920" w:rsidRPr="001B15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30920" w:rsidRPr="00C30920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гривня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r w:rsidR="00C756E0" w:rsidRPr="00C756E0">
        <w:rPr>
          <w:rFonts w:ascii="Times New Roman" w:hAnsi="Times New Roman" w:cs="Times New Roman"/>
          <w:sz w:val="28"/>
          <w:szCs w:val="28"/>
        </w:rPr>
        <w:t xml:space="preserve">стати </w:t>
      </w:r>
      <w:proofErr w:type="spellStart"/>
      <w:r w:rsidR="00C756E0" w:rsidRPr="00C756E0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="00C756E0" w:rsidRPr="00C75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56E0" w:rsidRPr="00C756E0">
        <w:rPr>
          <w:rFonts w:ascii="Times New Roman" w:hAnsi="Times New Roman" w:cs="Times New Roman"/>
          <w:sz w:val="28"/>
          <w:szCs w:val="28"/>
        </w:rPr>
        <w:t>етапом</w:t>
      </w:r>
      <w:proofErr w:type="spellEnd"/>
      <w:r w:rsidR="00C756E0" w:rsidRPr="00C756E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756E0" w:rsidRPr="00C756E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C756E0" w:rsidRPr="00C75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56E0" w:rsidRPr="00C756E0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="00C756E0" w:rsidRPr="00C75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56E0" w:rsidRPr="00C756E0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="00C756E0" w:rsidRPr="00C756E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C756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r w:rsidR="00C756E0">
        <w:rPr>
          <w:rFonts w:ascii="Times New Roman" w:hAnsi="Times New Roman" w:cs="Times New Roman"/>
          <w:sz w:val="28"/>
          <w:szCs w:val="28"/>
          <w:lang w:val="uk-UA"/>
        </w:rPr>
        <w:t>Це має стимулювати</w:t>
      </w:r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зрост</w:t>
      </w:r>
      <w:r w:rsidR="00C756E0">
        <w:rPr>
          <w:rFonts w:ascii="Times New Roman" w:hAnsi="Times New Roman" w:cs="Times New Roman"/>
          <w:sz w:val="28"/>
          <w:szCs w:val="28"/>
          <w:lang w:val="uk-UA"/>
        </w:rPr>
        <w:t>ання</w:t>
      </w:r>
      <w:proofErr w:type="spellEnd"/>
      <w:r w:rsidR="00C75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56E0">
        <w:rPr>
          <w:rFonts w:ascii="Times New Roman" w:hAnsi="Times New Roman" w:cs="Times New Roman"/>
          <w:sz w:val="28"/>
          <w:szCs w:val="28"/>
        </w:rPr>
        <w:t>швидкіст</w:t>
      </w:r>
      <w:proofErr w:type="spellEnd"/>
      <w:r w:rsidR="00C756E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756E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756E0">
        <w:rPr>
          <w:rFonts w:ascii="Times New Roman" w:hAnsi="Times New Roman" w:cs="Times New Roman"/>
          <w:sz w:val="28"/>
          <w:szCs w:val="28"/>
        </w:rPr>
        <w:t>ефективн</w:t>
      </w:r>
      <w:proofErr w:type="spellEnd"/>
      <w:r w:rsidR="00C756E0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платежів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собівартість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r w:rsidR="00C756E0">
        <w:rPr>
          <w:rFonts w:ascii="Times New Roman" w:hAnsi="Times New Roman" w:cs="Times New Roman"/>
          <w:sz w:val="28"/>
          <w:szCs w:val="28"/>
          <w:lang w:val="uk-UA"/>
        </w:rPr>
        <w:t xml:space="preserve">до зменшення </w:t>
      </w:r>
      <w:r w:rsidR="0066772E" w:rsidRPr="0066772E">
        <w:rPr>
          <w:rFonts w:ascii="Times New Roman" w:hAnsi="Times New Roman" w:cs="Times New Roman"/>
          <w:sz w:val="28"/>
          <w:szCs w:val="28"/>
        </w:rPr>
        <w:t>[</w:t>
      </w:r>
      <w:r w:rsidR="0066772E" w:rsidRPr="00B51320">
        <w:rPr>
          <w:rFonts w:ascii="Times New Roman" w:hAnsi="Times New Roman" w:cs="Times New Roman"/>
          <w:sz w:val="28"/>
          <w:szCs w:val="28"/>
        </w:rPr>
        <w:t>1]</w:t>
      </w:r>
      <w:r w:rsidR="00B513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0DDE" w:rsidRPr="00B51320" w:rsidRDefault="001B1525" w:rsidP="00072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Другий аспект –</w:t>
      </w:r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56E0" w:rsidRPr="00C756E0">
        <w:rPr>
          <w:rFonts w:ascii="Times New Roman" w:hAnsi="Times New Roman" w:cs="Times New Roman"/>
          <w:bCs/>
          <w:sz w:val="28"/>
          <w:szCs w:val="28"/>
        </w:rPr>
        <w:t>підвищення</w:t>
      </w:r>
      <w:proofErr w:type="spellEnd"/>
      <w:r w:rsidR="00C756E0" w:rsidRPr="00C756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56E0" w:rsidRPr="00C756E0">
        <w:rPr>
          <w:rFonts w:ascii="Times New Roman" w:hAnsi="Times New Roman" w:cs="Times New Roman"/>
          <w:bCs/>
          <w:sz w:val="28"/>
          <w:szCs w:val="28"/>
        </w:rPr>
        <w:t>прозорості</w:t>
      </w:r>
      <w:proofErr w:type="spellEnd"/>
      <w:r w:rsidR="00C756E0" w:rsidRPr="00C756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2A0A">
        <w:rPr>
          <w:rFonts w:ascii="Times New Roman" w:hAnsi="Times New Roman" w:cs="Times New Roman"/>
          <w:bCs/>
          <w:sz w:val="28"/>
          <w:szCs w:val="28"/>
        </w:rPr>
        <w:t xml:space="preserve">та </w:t>
      </w:r>
      <w:proofErr w:type="spellStart"/>
      <w:r w:rsidR="00E22A0A">
        <w:rPr>
          <w:rFonts w:ascii="Times New Roman" w:hAnsi="Times New Roman" w:cs="Times New Roman"/>
          <w:bCs/>
          <w:sz w:val="28"/>
          <w:szCs w:val="28"/>
        </w:rPr>
        <w:t>боротьба</w:t>
      </w:r>
      <w:proofErr w:type="spellEnd"/>
      <w:r w:rsidR="00E22A0A">
        <w:rPr>
          <w:rFonts w:ascii="Times New Roman" w:hAnsi="Times New Roman" w:cs="Times New Roman"/>
          <w:bCs/>
          <w:sz w:val="28"/>
          <w:szCs w:val="28"/>
        </w:rPr>
        <w:t xml:space="preserve"> з «</w:t>
      </w:r>
      <w:proofErr w:type="spellStart"/>
      <w:r w:rsidR="00E22A0A">
        <w:rPr>
          <w:rFonts w:ascii="Times New Roman" w:hAnsi="Times New Roman" w:cs="Times New Roman"/>
          <w:bCs/>
          <w:sz w:val="28"/>
          <w:szCs w:val="28"/>
        </w:rPr>
        <w:t>сірою</w:t>
      </w:r>
      <w:proofErr w:type="spellEnd"/>
      <w:r w:rsidR="00E22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зоною</w:t>
      </w:r>
      <w:r w:rsidR="00C30920" w:rsidRPr="009D0DDE">
        <w:rPr>
          <w:rFonts w:ascii="Times New Roman" w:hAnsi="Times New Roman" w:cs="Times New Roman"/>
          <w:bCs/>
          <w:sz w:val="28"/>
          <w:szCs w:val="28"/>
        </w:rPr>
        <w:t>»</w:t>
      </w:r>
      <w:r w:rsidR="00E22A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економіки</w:t>
      </w:r>
      <w:r w:rsidR="00C30920" w:rsidRPr="009D0DDE">
        <w:rPr>
          <w:rFonts w:ascii="Times New Roman" w:hAnsi="Times New Roman" w:cs="Times New Roman"/>
          <w:sz w:val="28"/>
          <w:szCs w:val="28"/>
        </w:rPr>
        <w:t>.</w:t>
      </w:r>
      <w:r w:rsidR="00C30920" w:rsidRPr="00C30920">
        <w:rPr>
          <w:rFonts w:ascii="Times New Roman" w:hAnsi="Times New Roman" w:cs="Times New Roman"/>
          <w:sz w:val="28"/>
          <w:szCs w:val="28"/>
        </w:rPr>
        <w:t xml:space="preserve"> Е-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гривня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r w:rsidR="00376088">
        <w:rPr>
          <w:rFonts w:ascii="Times New Roman" w:hAnsi="Times New Roman" w:cs="Times New Roman"/>
          <w:sz w:val="28"/>
          <w:szCs w:val="28"/>
          <w:lang w:val="uk-UA"/>
        </w:rPr>
        <w:t>фіксацію</w:t>
      </w:r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транзакцій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у цифровому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реєстрі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відповідними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правами доступу,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дозволить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r w:rsidR="00E22A0A">
        <w:rPr>
          <w:rFonts w:ascii="Times New Roman" w:hAnsi="Times New Roman" w:cs="Times New Roman"/>
          <w:sz w:val="28"/>
          <w:szCs w:val="28"/>
          <w:lang w:val="uk-UA"/>
        </w:rPr>
        <w:t>чесність</w:t>
      </w:r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і з</w:t>
      </w:r>
      <w:proofErr w:type="spellStart"/>
      <w:r w:rsidR="00E22A0A">
        <w:rPr>
          <w:rFonts w:ascii="Times New Roman" w:hAnsi="Times New Roman" w:cs="Times New Roman"/>
          <w:sz w:val="28"/>
          <w:szCs w:val="28"/>
          <w:lang w:val="uk-UA"/>
        </w:rPr>
        <w:t>меншити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ухилення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відмивання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гаманців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НБУ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гарантує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відстеже</w:t>
      </w:r>
      <w:r w:rsidR="00E22A0A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="00E22A0A">
        <w:rPr>
          <w:rFonts w:ascii="Times New Roman" w:hAnsi="Times New Roman" w:cs="Times New Roman"/>
          <w:sz w:val="28"/>
          <w:szCs w:val="28"/>
        </w:rPr>
        <w:t xml:space="preserve"> регулятором за </w:t>
      </w:r>
      <w:proofErr w:type="spellStart"/>
      <w:r w:rsidR="00E22A0A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="00E22A0A"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="00C30920" w:rsidRPr="00E22A0A">
        <w:rPr>
          <w:rFonts w:ascii="Times New Roman" w:hAnsi="Times New Roman" w:cs="Times New Roman"/>
          <w:sz w:val="28"/>
          <w:szCs w:val="28"/>
          <w:lang w:val="uk-UA"/>
        </w:rPr>
        <w:t>априклад, для виявлення нелегальних фінансо</w:t>
      </w:r>
      <w:r w:rsidR="00E22A0A" w:rsidRPr="00E22A0A">
        <w:rPr>
          <w:rFonts w:ascii="Times New Roman" w:hAnsi="Times New Roman" w:cs="Times New Roman"/>
          <w:sz w:val="28"/>
          <w:szCs w:val="28"/>
          <w:lang w:val="uk-UA"/>
        </w:rPr>
        <w:t>вих потоків</w:t>
      </w:r>
      <w:r w:rsidR="00E22A0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E22A0A" w:rsidRPr="00E22A0A">
        <w:rPr>
          <w:rFonts w:ascii="Times New Roman" w:hAnsi="Times New Roman" w:cs="Times New Roman"/>
          <w:sz w:val="28"/>
          <w:szCs w:val="28"/>
          <w:lang w:val="uk-UA"/>
        </w:rPr>
        <w:t>несанкціонованих операцій</w:t>
      </w:r>
      <w:r w:rsidR="00C30920" w:rsidRPr="00E22A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22A0A">
        <w:rPr>
          <w:rFonts w:ascii="Times New Roman" w:hAnsi="Times New Roman" w:cs="Times New Roman"/>
          <w:sz w:val="28"/>
          <w:szCs w:val="28"/>
          <w:lang w:val="uk-UA"/>
        </w:rPr>
        <w:t>Втім,</w:t>
      </w:r>
      <w:r w:rsidR="00C30920" w:rsidRPr="00E22A0A">
        <w:rPr>
          <w:rFonts w:ascii="Times New Roman" w:hAnsi="Times New Roman" w:cs="Times New Roman"/>
          <w:sz w:val="28"/>
          <w:szCs w:val="28"/>
          <w:lang w:val="uk-UA"/>
        </w:rPr>
        <w:t xml:space="preserve"> НБУ наголошує на тому, що система повинна забезпечити </w:t>
      </w:r>
      <w:r w:rsidR="00E22A0A" w:rsidRPr="00E22A0A">
        <w:rPr>
          <w:rFonts w:ascii="Times New Roman" w:hAnsi="Times New Roman" w:cs="Times New Roman"/>
          <w:sz w:val="28"/>
          <w:szCs w:val="28"/>
          <w:lang w:val="uk-UA"/>
        </w:rPr>
        <w:t>конфіденційність</w:t>
      </w:r>
      <w:r w:rsidR="00E22A0A">
        <w:rPr>
          <w:rFonts w:ascii="Times New Roman" w:hAnsi="Times New Roman" w:cs="Times New Roman"/>
          <w:sz w:val="28"/>
          <w:szCs w:val="28"/>
          <w:lang w:val="uk-UA"/>
        </w:rPr>
        <w:t xml:space="preserve"> звичайних користувачів, </w:t>
      </w:r>
      <w:r w:rsidR="00C30920" w:rsidRPr="00E22A0A">
        <w:rPr>
          <w:rFonts w:ascii="Times New Roman" w:hAnsi="Times New Roman" w:cs="Times New Roman"/>
          <w:sz w:val="28"/>
          <w:szCs w:val="28"/>
          <w:lang w:val="uk-UA"/>
        </w:rPr>
        <w:t xml:space="preserve">тобто не </w:t>
      </w:r>
      <w:r w:rsidR="00E22A0A">
        <w:rPr>
          <w:rFonts w:ascii="Times New Roman" w:hAnsi="Times New Roman" w:cs="Times New Roman"/>
          <w:sz w:val="28"/>
          <w:szCs w:val="28"/>
          <w:lang w:val="uk-UA"/>
        </w:rPr>
        <w:t>розкривати їх дрібні транзакції і тримати</w:t>
      </w:r>
      <w:r w:rsidR="00C30920" w:rsidRPr="00E22A0A">
        <w:rPr>
          <w:rFonts w:ascii="Times New Roman" w:hAnsi="Times New Roman" w:cs="Times New Roman"/>
          <w:sz w:val="28"/>
          <w:szCs w:val="28"/>
          <w:lang w:val="uk-UA"/>
        </w:rPr>
        <w:t xml:space="preserve"> баланс між відкритістю та захистом даних. Із цим пов’язан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третій аспект </w:t>
      </w:r>
      <w:r w:rsidR="00C30920" w:rsidRPr="00E22A0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30920" w:rsidRPr="00E22A0A">
        <w:rPr>
          <w:rFonts w:ascii="Times New Roman" w:hAnsi="Times New Roman" w:cs="Times New Roman"/>
          <w:bCs/>
          <w:sz w:val="28"/>
          <w:szCs w:val="28"/>
          <w:lang w:val="uk-UA"/>
        </w:rPr>
        <w:t>безпека та довіра</w:t>
      </w:r>
      <w:r w:rsidR="00C30920" w:rsidRPr="00E22A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в CBDC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гарантовані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державою та не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схильні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920" w:rsidRPr="00C30920">
        <w:rPr>
          <w:rFonts w:ascii="Times New Roman" w:hAnsi="Times New Roman" w:cs="Times New Roman"/>
          <w:sz w:val="28"/>
          <w:szCs w:val="28"/>
        </w:rPr>
        <w:t>бан</w:t>
      </w:r>
      <w:r w:rsidR="00B51320">
        <w:rPr>
          <w:rFonts w:ascii="Times New Roman" w:hAnsi="Times New Roman" w:cs="Times New Roman"/>
          <w:sz w:val="28"/>
          <w:szCs w:val="28"/>
        </w:rPr>
        <w:t>крутства</w:t>
      </w:r>
      <w:proofErr w:type="spellEnd"/>
      <w:r w:rsidR="00C30920" w:rsidRPr="00C30920">
        <w:rPr>
          <w:rFonts w:ascii="Times New Roman" w:hAnsi="Times New Roman" w:cs="Times New Roman"/>
          <w:sz w:val="28"/>
          <w:szCs w:val="28"/>
        </w:rPr>
        <w:t xml:space="preserve"> </w:t>
      </w:r>
      <w:r w:rsidR="0066772E" w:rsidRPr="00B51320">
        <w:rPr>
          <w:rFonts w:ascii="Times New Roman" w:hAnsi="Times New Roman" w:cs="Times New Roman"/>
          <w:sz w:val="28"/>
          <w:szCs w:val="28"/>
        </w:rPr>
        <w:t>[1; 3]</w:t>
      </w:r>
      <w:r w:rsidR="00B513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0920" w:rsidRPr="00B51320" w:rsidRDefault="00C30920" w:rsidP="00072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30920">
        <w:rPr>
          <w:rFonts w:ascii="Times New Roman" w:hAnsi="Times New Roman" w:cs="Times New Roman"/>
          <w:sz w:val="28"/>
          <w:szCs w:val="28"/>
        </w:rPr>
        <w:t>Четвертим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аспектом є </w:t>
      </w:r>
      <w:proofErr w:type="spellStart"/>
      <w:r w:rsidRPr="009D0DDE">
        <w:rPr>
          <w:rFonts w:ascii="Times New Roman" w:hAnsi="Times New Roman" w:cs="Times New Roman"/>
          <w:bCs/>
          <w:sz w:val="28"/>
          <w:szCs w:val="28"/>
        </w:rPr>
        <w:t>фінансова</w:t>
      </w:r>
      <w:proofErr w:type="spellEnd"/>
      <w:r w:rsidRPr="009D0D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0DDE">
        <w:rPr>
          <w:rFonts w:ascii="Times New Roman" w:hAnsi="Times New Roman" w:cs="Times New Roman"/>
          <w:bCs/>
          <w:sz w:val="28"/>
          <w:szCs w:val="28"/>
        </w:rPr>
        <w:t>інклюзія</w:t>
      </w:r>
      <w:proofErr w:type="spellEnd"/>
      <w:r w:rsidRPr="009D0DDE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9D0DDE">
        <w:rPr>
          <w:rFonts w:ascii="Times New Roman" w:hAnsi="Times New Roman" w:cs="Times New Roman"/>
          <w:bCs/>
          <w:sz w:val="28"/>
          <w:szCs w:val="28"/>
        </w:rPr>
        <w:t>доступність</w:t>
      </w:r>
      <w:proofErr w:type="spellEnd"/>
      <w:r w:rsidRPr="009D0DDE">
        <w:rPr>
          <w:rFonts w:ascii="Times New Roman" w:hAnsi="Times New Roman" w:cs="Times New Roman"/>
          <w:sz w:val="28"/>
          <w:szCs w:val="28"/>
        </w:rPr>
        <w:t>.</w:t>
      </w:r>
      <w:r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Інфраструктура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гривні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відкритою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верств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9D0D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D0DDE">
        <w:rPr>
          <w:rFonts w:ascii="Times New Roman" w:hAnsi="Times New Roman" w:cs="Times New Roman"/>
          <w:sz w:val="28"/>
          <w:szCs w:val="28"/>
          <w:lang w:val="uk-UA"/>
        </w:rPr>
        <w:t>Наявність сучасних цифрових сервісів в Україні (мобільні банки, Дія) вказує на високу технічну готовність країни</w:t>
      </w:r>
      <w:r w:rsidR="009D0D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30920">
        <w:rPr>
          <w:rFonts w:ascii="Times New Roman" w:hAnsi="Times New Roman" w:cs="Times New Roman"/>
          <w:sz w:val="28"/>
          <w:szCs w:val="28"/>
        </w:rPr>
        <w:t xml:space="preserve">CBDC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охоплення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користується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готівкою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ма</w:t>
      </w:r>
      <w:r w:rsidR="00AB140B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AB140B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="00AB140B">
        <w:rPr>
          <w:rFonts w:ascii="Times New Roman" w:hAnsi="Times New Roman" w:cs="Times New Roman"/>
          <w:sz w:val="28"/>
          <w:szCs w:val="28"/>
        </w:rPr>
        <w:t>банківської</w:t>
      </w:r>
      <w:proofErr w:type="spellEnd"/>
      <w:r w:rsidR="00AB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40B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>.</w:t>
      </w:r>
      <w:r w:rsidR="00376088">
        <w:rPr>
          <w:rFonts w:ascii="Times New Roman" w:hAnsi="Times New Roman" w:cs="Times New Roman"/>
          <w:sz w:val="28"/>
          <w:szCs w:val="28"/>
        </w:rPr>
        <w:t xml:space="preserve"> </w:t>
      </w:r>
      <w:r w:rsidR="00376088">
        <w:rPr>
          <w:rFonts w:ascii="Times New Roman" w:hAnsi="Times New Roman" w:cs="Times New Roman"/>
          <w:sz w:val="28"/>
          <w:szCs w:val="28"/>
          <w:lang w:val="uk-UA"/>
        </w:rPr>
        <w:t xml:space="preserve">До прикладу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єПідтримка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показав, як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цільові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</w:t>
      </w:r>
      <w:r w:rsidR="00E22A0A">
        <w:rPr>
          <w:rFonts w:ascii="Times New Roman" w:hAnsi="Times New Roman" w:cs="Times New Roman"/>
          <w:sz w:val="28"/>
          <w:szCs w:val="28"/>
          <w:lang w:val="uk-UA"/>
        </w:rPr>
        <w:lastRenderedPageBreak/>
        <w:t>кошти</w:t>
      </w:r>
      <w:r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C3092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30920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="00AB14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B140B" w:rsidRPr="00AB140B">
        <w:rPr>
          <w:rFonts w:ascii="Times New Roman" w:hAnsi="Times New Roman" w:cs="Times New Roman"/>
          <w:sz w:val="28"/>
          <w:szCs w:val="28"/>
        </w:rPr>
        <w:t>надаючи</w:t>
      </w:r>
      <w:proofErr w:type="spellEnd"/>
      <w:r w:rsidR="00AB140B" w:rsidRPr="00AB140B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="00AB140B" w:rsidRPr="00AB140B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="00AB140B" w:rsidRPr="00AB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40B" w:rsidRPr="00AB140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AB140B" w:rsidRPr="00AB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40B" w:rsidRPr="00AB140B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="00AB140B" w:rsidRPr="00AB14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140B" w:rsidRPr="00AB140B">
        <w:rPr>
          <w:rFonts w:ascii="Times New Roman" w:hAnsi="Times New Roman" w:cs="Times New Roman"/>
          <w:sz w:val="28"/>
          <w:szCs w:val="28"/>
        </w:rPr>
        <w:t>хт</w:t>
      </w:r>
      <w:r w:rsidR="00AB140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B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40B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="00AB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40B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="00AB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40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B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40B">
        <w:rPr>
          <w:rFonts w:ascii="Times New Roman" w:hAnsi="Times New Roman" w:cs="Times New Roman"/>
          <w:sz w:val="28"/>
          <w:szCs w:val="28"/>
        </w:rPr>
        <w:t>готівки</w:t>
      </w:r>
      <w:proofErr w:type="spellEnd"/>
      <w:r w:rsidR="00AB140B" w:rsidRPr="00AB140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AB140B" w:rsidRPr="00AB140B">
        <w:rPr>
          <w:rFonts w:ascii="Times New Roman" w:hAnsi="Times New Roman" w:cs="Times New Roman"/>
          <w:sz w:val="28"/>
          <w:szCs w:val="28"/>
        </w:rPr>
        <w:t>стратегічному</w:t>
      </w:r>
      <w:proofErr w:type="spellEnd"/>
      <w:r w:rsidR="00AB140B" w:rsidRPr="00AB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40B" w:rsidRPr="00AB140B">
        <w:rPr>
          <w:rFonts w:ascii="Times New Roman" w:hAnsi="Times New Roman" w:cs="Times New Roman"/>
          <w:sz w:val="28"/>
          <w:szCs w:val="28"/>
        </w:rPr>
        <w:t>плані</w:t>
      </w:r>
      <w:proofErr w:type="spellEnd"/>
      <w:r w:rsidR="00AB140B" w:rsidRPr="00AB140B">
        <w:rPr>
          <w:rFonts w:ascii="Times New Roman" w:hAnsi="Times New Roman" w:cs="Times New Roman"/>
          <w:sz w:val="28"/>
          <w:szCs w:val="28"/>
        </w:rPr>
        <w:t xml:space="preserve"> CBDC </w:t>
      </w:r>
      <w:proofErr w:type="spellStart"/>
      <w:r w:rsidR="00AB140B" w:rsidRPr="00AB140B">
        <w:rPr>
          <w:rFonts w:ascii="Times New Roman" w:hAnsi="Times New Roman" w:cs="Times New Roman"/>
          <w:sz w:val="28"/>
          <w:szCs w:val="28"/>
        </w:rPr>
        <w:t>здатна</w:t>
      </w:r>
      <w:proofErr w:type="spellEnd"/>
      <w:r w:rsidR="00AB140B" w:rsidRPr="00AB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40B" w:rsidRPr="00AB140B">
        <w:rPr>
          <w:rFonts w:ascii="Times New Roman" w:hAnsi="Times New Roman" w:cs="Times New Roman"/>
          <w:sz w:val="28"/>
          <w:szCs w:val="28"/>
        </w:rPr>
        <w:t>посилити</w:t>
      </w:r>
      <w:proofErr w:type="spellEnd"/>
      <w:r w:rsidR="00AB140B" w:rsidRPr="00AB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40B" w:rsidRPr="00AB140B">
        <w:rPr>
          <w:rFonts w:ascii="Times New Roman" w:hAnsi="Times New Roman" w:cs="Times New Roman"/>
          <w:sz w:val="28"/>
          <w:szCs w:val="28"/>
        </w:rPr>
        <w:t>монетарний</w:t>
      </w:r>
      <w:proofErr w:type="spellEnd"/>
      <w:r w:rsidR="00AB140B" w:rsidRPr="00AB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40B" w:rsidRPr="00AB140B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="00AB140B" w:rsidRPr="00AB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40B" w:rsidRPr="00AB140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B140B" w:rsidRPr="00AB140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B140B" w:rsidRPr="00AB140B">
        <w:rPr>
          <w:rFonts w:ascii="Times New Roman" w:hAnsi="Times New Roman" w:cs="Times New Roman"/>
          <w:sz w:val="28"/>
          <w:szCs w:val="28"/>
        </w:rPr>
        <w:t>підви</w:t>
      </w:r>
      <w:r w:rsidR="00AB140B">
        <w:rPr>
          <w:rFonts w:ascii="Times New Roman" w:hAnsi="Times New Roman" w:cs="Times New Roman"/>
          <w:sz w:val="28"/>
          <w:szCs w:val="28"/>
        </w:rPr>
        <w:t>щити</w:t>
      </w:r>
      <w:proofErr w:type="spellEnd"/>
      <w:r w:rsidR="00AB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40B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="00AB140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B140B">
        <w:rPr>
          <w:rFonts w:ascii="Times New Roman" w:hAnsi="Times New Roman" w:cs="Times New Roman"/>
          <w:sz w:val="28"/>
          <w:szCs w:val="28"/>
        </w:rPr>
        <w:t>кризових</w:t>
      </w:r>
      <w:proofErr w:type="spellEnd"/>
      <w:r w:rsidR="00AB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40B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="00AB140B">
        <w:rPr>
          <w:rFonts w:ascii="Times New Roman" w:hAnsi="Times New Roman" w:cs="Times New Roman"/>
          <w:sz w:val="28"/>
          <w:szCs w:val="28"/>
          <w:lang w:val="uk-UA"/>
        </w:rPr>
        <w:t>, у</w:t>
      </w:r>
      <w:r w:rsidR="00AB140B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40B" w:rsidRPr="00C30920">
        <w:rPr>
          <w:rFonts w:ascii="Times New Roman" w:hAnsi="Times New Roman" w:cs="Times New Roman"/>
          <w:sz w:val="28"/>
          <w:szCs w:val="28"/>
        </w:rPr>
        <w:t>воєнний</w:t>
      </w:r>
      <w:proofErr w:type="spellEnd"/>
      <w:r w:rsidR="00AB140B" w:rsidRPr="00C3092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AB140B" w:rsidRPr="00C3092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AB140B" w:rsidRPr="00C3092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B140B" w:rsidRPr="00C30920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AB140B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40B" w:rsidRPr="00C30920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="00AB140B" w:rsidRPr="00C30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40B" w:rsidRPr="00C30920">
        <w:rPr>
          <w:rFonts w:ascii="Times New Roman" w:hAnsi="Times New Roman" w:cs="Times New Roman"/>
          <w:sz w:val="28"/>
          <w:szCs w:val="28"/>
        </w:rPr>
        <w:t>потрясінь</w:t>
      </w:r>
      <w:proofErr w:type="spellEnd"/>
      <w:r w:rsidR="0066772E" w:rsidRPr="0066772E">
        <w:rPr>
          <w:rFonts w:ascii="Times New Roman" w:hAnsi="Times New Roman" w:cs="Times New Roman"/>
          <w:sz w:val="28"/>
          <w:szCs w:val="28"/>
        </w:rPr>
        <w:t xml:space="preserve"> [1]</w:t>
      </w:r>
      <w:r w:rsidR="00B513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0920" w:rsidRPr="00B51320" w:rsidRDefault="00AB140B" w:rsidP="00072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40B">
        <w:rPr>
          <w:rFonts w:ascii="Times New Roman" w:hAnsi="Times New Roman" w:cs="Times New Roman"/>
          <w:sz w:val="28"/>
          <w:szCs w:val="28"/>
        </w:rPr>
        <w:t xml:space="preserve">Разом </w:t>
      </w:r>
      <w:proofErr w:type="spellStart"/>
      <w:r w:rsidRPr="00AB140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B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40B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AB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40B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AB140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B140B">
        <w:rPr>
          <w:rFonts w:ascii="Times New Roman" w:hAnsi="Times New Roman" w:cs="Times New Roman"/>
          <w:bCs/>
          <w:sz w:val="28"/>
          <w:szCs w:val="28"/>
        </w:rPr>
        <w:t>ключові</w:t>
      </w:r>
      <w:proofErr w:type="spellEnd"/>
      <w:r w:rsidRPr="00AB14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140B">
        <w:rPr>
          <w:rFonts w:ascii="Times New Roman" w:hAnsi="Times New Roman" w:cs="Times New Roman"/>
          <w:bCs/>
          <w:sz w:val="28"/>
          <w:szCs w:val="28"/>
        </w:rPr>
        <w:t>виклики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І</w:t>
      </w:r>
      <w:r w:rsidRPr="00AB140B">
        <w:rPr>
          <w:rFonts w:ascii="Times New Roman" w:hAnsi="Times New Roman" w:cs="Times New Roman"/>
          <w:sz w:val="28"/>
          <w:szCs w:val="28"/>
          <w:lang w:val="uk-UA"/>
        </w:rPr>
        <w:t xml:space="preserve">нфраструктурні та </w:t>
      </w:r>
      <w:proofErr w:type="spellStart"/>
      <w:r w:rsidRPr="00AB140B">
        <w:rPr>
          <w:rFonts w:ascii="Times New Roman" w:hAnsi="Times New Roman" w:cs="Times New Roman"/>
          <w:sz w:val="28"/>
          <w:szCs w:val="28"/>
          <w:lang w:val="uk-UA"/>
        </w:rPr>
        <w:t>кібербезпекові</w:t>
      </w:r>
      <w:proofErr w:type="spellEnd"/>
      <w:r w:rsidRPr="00AB140B">
        <w:rPr>
          <w:rFonts w:ascii="Times New Roman" w:hAnsi="Times New Roman" w:cs="Times New Roman"/>
          <w:sz w:val="28"/>
          <w:szCs w:val="28"/>
          <w:lang w:val="uk-UA"/>
        </w:rPr>
        <w:t xml:space="preserve"> ризики</w:t>
      </w:r>
      <w:r w:rsidR="00E22A0A" w:rsidRPr="00E22A0A">
        <w:rPr>
          <w:lang w:val="uk-UA"/>
        </w:rPr>
        <w:t xml:space="preserve"> </w:t>
      </w:r>
      <w:r w:rsidR="00E22A0A" w:rsidRPr="00E22A0A">
        <w:rPr>
          <w:rFonts w:ascii="Times New Roman" w:hAnsi="Times New Roman" w:cs="Times New Roman"/>
          <w:sz w:val="28"/>
          <w:szCs w:val="28"/>
          <w:lang w:val="uk-UA"/>
        </w:rPr>
        <w:t>вимагають створення надійної та захищеної системи, я</w:t>
      </w:r>
      <w:r w:rsidR="005C5792">
        <w:rPr>
          <w:rFonts w:ascii="Times New Roman" w:hAnsi="Times New Roman" w:cs="Times New Roman"/>
          <w:sz w:val="28"/>
          <w:szCs w:val="28"/>
          <w:lang w:val="uk-UA"/>
        </w:rPr>
        <w:t>ка б функціонувала без перебоїв</w:t>
      </w:r>
      <w:r w:rsidRPr="00AB14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C5792">
        <w:rPr>
          <w:rFonts w:ascii="Times New Roman" w:hAnsi="Times New Roman" w:cs="Times New Roman"/>
          <w:sz w:val="28"/>
          <w:szCs w:val="28"/>
          <w:lang w:val="uk-UA"/>
        </w:rPr>
        <w:t>Необхідна адаптація законодавства, яка</w:t>
      </w:r>
      <w:r w:rsidRPr="00AB140B">
        <w:rPr>
          <w:rFonts w:ascii="Times New Roman" w:hAnsi="Times New Roman" w:cs="Times New Roman"/>
          <w:sz w:val="28"/>
          <w:szCs w:val="28"/>
          <w:lang w:val="uk-UA"/>
        </w:rPr>
        <w:t xml:space="preserve"> має чітко визначити правовий статус, правила використання та відповідальність учасників.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65B49">
        <w:rPr>
          <w:rFonts w:ascii="Times New Roman" w:hAnsi="Times New Roman" w:cs="Times New Roman"/>
          <w:sz w:val="28"/>
          <w:szCs w:val="28"/>
          <w:lang w:val="uk-UA"/>
        </w:rPr>
        <w:t>изики для банківської системи</w:t>
      </w:r>
      <w:r w:rsidR="005C5792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AB140B">
        <w:rPr>
          <w:rFonts w:ascii="Times New Roman" w:hAnsi="Times New Roman" w:cs="Times New Roman"/>
          <w:sz w:val="28"/>
          <w:szCs w:val="28"/>
          <w:lang w:val="uk-UA"/>
        </w:rPr>
        <w:t xml:space="preserve"> можливий відтік депозитів у </w:t>
      </w:r>
      <w:r w:rsidRPr="00AB140B">
        <w:rPr>
          <w:rFonts w:ascii="Times New Roman" w:hAnsi="Times New Roman" w:cs="Times New Roman"/>
          <w:sz w:val="28"/>
          <w:szCs w:val="28"/>
        </w:rPr>
        <w:t>CBDC</w:t>
      </w:r>
      <w:r w:rsidR="00715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5792">
        <w:rPr>
          <w:rFonts w:ascii="Times New Roman" w:hAnsi="Times New Roman" w:cs="Times New Roman"/>
          <w:sz w:val="28"/>
          <w:szCs w:val="28"/>
          <w:lang w:val="uk-UA"/>
        </w:rPr>
        <w:t>потребуватимуть запровадження</w:t>
      </w:r>
      <w:r w:rsidRPr="00AB140B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регуляторних обмежень.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B140B">
        <w:rPr>
          <w:rFonts w:ascii="Times New Roman" w:hAnsi="Times New Roman" w:cs="Times New Roman"/>
          <w:sz w:val="28"/>
          <w:szCs w:val="28"/>
          <w:lang w:val="uk-UA"/>
        </w:rPr>
        <w:t>розорість транзакцій необхідно збалансувати із захистом даних користувачів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Pr="00AB140B">
        <w:rPr>
          <w:rFonts w:ascii="Times New Roman" w:hAnsi="Times New Roman" w:cs="Times New Roman"/>
          <w:sz w:val="28"/>
          <w:szCs w:val="28"/>
          <w:lang w:val="uk-UA"/>
        </w:rPr>
        <w:t>низька фінансова грам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отність окремих груп населення </w:t>
      </w:r>
      <w:r w:rsidRPr="00AB140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51320">
        <w:rPr>
          <w:rFonts w:ascii="Times New Roman" w:hAnsi="Times New Roman" w:cs="Times New Roman"/>
          <w:sz w:val="28"/>
          <w:szCs w:val="28"/>
          <w:lang w:val="uk-UA"/>
        </w:rPr>
        <w:t xml:space="preserve">отребуватиме освітніх ініціатив </w:t>
      </w:r>
      <w:r w:rsidR="0066772E" w:rsidRPr="0066772E">
        <w:rPr>
          <w:rFonts w:ascii="Times New Roman" w:hAnsi="Times New Roman" w:cs="Times New Roman"/>
          <w:sz w:val="28"/>
          <w:szCs w:val="28"/>
        </w:rPr>
        <w:t>[3]</w:t>
      </w:r>
      <w:r w:rsidR="00B513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6088" w:rsidRDefault="00AB140B" w:rsidP="00072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376088" w:rsidRPr="00376088">
        <w:rPr>
          <w:rFonts w:ascii="Times New Roman" w:hAnsi="Times New Roman" w:cs="Times New Roman"/>
          <w:sz w:val="28"/>
          <w:szCs w:val="28"/>
          <w:lang w:val="uk-UA"/>
        </w:rPr>
        <w:t xml:space="preserve">цифрова валюта </w:t>
      </w:r>
      <w:r w:rsidR="003C1ACD">
        <w:rPr>
          <w:rFonts w:ascii="Times New Roman" w:hAnsi="Times New Roman" w:cs="Times New Roman"/>
          <w:sz w:val="28"/>
          <w:szCs w:val="28"/>
          <w:lang w:val="uk-UA"/>
        </w:rPr>
        <w:t xml:space="preserve">є перспективним </w:t>
      </w:r>
      <w:proofErr w:type="spellStart"/>
      <w:r w:rsidR="003C1ACD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="003C1ACD">
        <w:rPr>
          <w:rFonts w:ascii="Times New Roman" w:hAnsi="Times New Roman" w:cs="Times New Roman"/>
          <w:sz w:val="28"/>
          <w:szCs w:val="28"/>
          <w:lang w:val="uk-UA"/>
        </w:rPr>
        <w:t xml:space="preserve">, що може </w:t>
      </w:r>
      <w:r w:rsidR="00376088" w:rsidRPr="00376088">
        <w:rPr>
          <w:rFonts w:ascii="Times New Roman" w:hAnsi="Times New Roman" w:cs="Times New Roman"/>
          <w:sz w:val="28"/>
          <w:szCs w:val="28"/>
          <w:lang w:val="uk-UA"/>
        </w:rPr>
        <w:t>стати інструментом для оновлення фінансової системи України. Проте її впровадження повинно бути обдуманим, з урахуванням не лише економічних переваг</w:t>
      </w:r>
      <w:r w:rsidR="003C1ACD">
        <w:rPr>
          <w:rFonts w:ascii="Times New Roman" w:hAnsi="Times New Roman" w:cs="Times New Roman"/>
          <w:sz w:val="28"/>
          <w:szCs w:val="28"/>
          <w:lang w:val="uk-UA"/>
        </w:rPr>
        <w:t xml:space="preserve"> і вигод</w:t>
      </w:r>
      <w:r w:rsidR="00376088" w:rsidRPr="00376088">
        <w:rPr>
          <w:rFonts w:ascii="Times New Roman" w:hAnsi="Times New Roman" w:cs="Times New Roman"/>
          <w:sz w:val="28"/>
          <w:szCs w:val="28"/>
          <w:lang w:val="uk-UA"/>
        </w:rPr>
        <w:t>, а й можливих ризиків. Запровадження е-гривні також має потенціал зміцнити довіру до національної валюти та посилити монетарний суверенітет держави</w:t>
      </w:r>
      <w:r w:rsidR="0037608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76088" w:rsidRPr="00376088">
        <w:rPr>
          <w:rFonts w:ascii="Times New Roman" w:hAnsi="Times New Roman" w:cs="Times New Roman"/>
          <w:sz w:val="28"/>
          <w:szCs w:val="28"/>
          <w:lang w:val="uk-UA"/>
        </w:rPr>
        <w:t xml:space="preserve">Саме в поєднанні </w:t>
      </w:r>
      <w:proofErr w:type="spellStart"/>
      <w:r w:rsidR="00376088" w:rsidRPr="00376088">
        <w:rPr>
          <w:rFonts w:ascii="Times New Roman" w:hAnsi="Times New Roman" w:cs="Times New Roman"/>
          <w:sz w:val="28"/>
          <w:szCs w:val="28"/>
          <w:lang w:val="uk-UA"/>
        </w:rPr>
        <w:t>інноваційності</w:t>
      </w:r>
      <w:proofErr w:type="spellEnd"/>
      <w:r w:rsidR="00376088" w:rsidRPr="00376088">
        <w:rPr>
          <w:rFonts w:ascii="Times New Roman" w:hAnsi="Times New Roman" w:cs="Times New Roman"/>
          <w:sz w:val="28"/>
          <w:szCs w:val="28"/>
          <w:lang w:val="uk-UA"/>
        </w:rPr>
        <w:t>, фінансової стабільності та ефективного регулювання полягає запорука успішного впровадження цифрової валюти центрального банку в Україні.</w:t>
      </w:r>
    </w:p>
    <w:p w:rsidR="00AB140B" w:rsidRDefault="00AB140B" w:rsidP="00072E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140B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AB140B" w:rsidRDefault="00200BB4" w:rsidP="00072E9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0BB4">
        <w:rPr>
          <w:rFonts w:ascii="Times New Roman" w:hAnsi="Times New Roman" w:cs="Times New Roman"/>
          <w:sz w:val="24"/>
          <w:szCs w:val="24"/>
        </w:rPr>
        <w:t>Е-</w:t>
      </w:r>
      <w:proofErr w:type="spellStart"/>
      <w:r w:rsidRPr="00200BB4">
        <w:rPr>
          <w:rFonts w:ascii="Times New Roman" w:hAnsi="Times New Roman" w:cs="Times New Roman"/>
          <w:sz w:val="24"/>
          <w:szCs w:val="24"/>
        </w:rPr>
        <w:t>гривня</w:t>
      </w:r>
      <w:proofErr w:type="spellEnd"/>
      <w:r w:rsidRPr="00200BB4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200BB4">
        <w:rPr>
          <w:rFonts w:ascii="Times New Roman" w:hAnsi="Times New Roman" w:cs="Times New Roman"/>
          <w:iCs/>
          <w:sz w:val="24"/>
          <w:szCs w:val="24"/>
        </w:rPr>
        <w:t>Національний</w:t>
      </w:r>
      <w:proofErr w:type="spellEnd"/>
      <w:r w:rsidRPr="00200BB4">
        <w:rPr>
          <w:rFonts w:ascii="Times New Roman" w:hAnsi="Times New Roman" w:cs="Times New Roman"/>
          <w:iCs/>
          <w:sz w:val="24"/>
          <w:szCs w:val="24"/>
        </w:rPr>
        <w:t xml:space="preserve"> банк </w:t>
      </w:r>
      <w:proofErr w:type="spellStart"/>
      <w:r w:rsidRPr="00200BB4">
        <w:rPr>
          <w:rFonts w:ascii="Times New Roman" w:hAnsi="Times New Roman" w:cs="Times New Roman"/>
          <w:iCs/>
          <w:sz w:val="24"/>
          <w:szCs w:val="24"/>
        </w:rPr>
        <w:t>України</w:t>
      </w:r>
      <w:proofErr w:type="spellEnd"/>
      <w:r w:rsidRPr="00200BB4">
        <w:rPr>
          <w:rFonts w:ascii="Times New Roman" w:hAnsi="Times New Roman" w:cs="Times New Roman"/>
          <w:sz w:val="24"/>
          <w:szCs w:val="24"/>
        </w:rPr>
        <w:t>. URL: </w:t>
      </w:r>
      <w:hyperlink r:id="rId7" w:tgtFrame="_blank" w:history="1">
        <w:r w:rsidRPr="00200BB4">
          <w:rPr>
            <w:rStyle w:val="a3"/>
            <w:rFonts w:ascii="Times New Roman" w:hAnsi="Times New Roman" w:cs="Times New Roman"/>
            <w:sz w:val="24"/>
            <w:szCs w:val="24"/>
          </w:rPr>
          <w:t>https://bank.gov.ua/ua/payments/e-hryvnia</w:t>
        </w:r>
      </w:hyperlink>
    </w:p>
    <w:p w:rsidR="00200BB4" w:rsidRPr="0066772E" w:rsidRDefault="00694A73" w:rsidP="00072E9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A73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694A73">
        <w:rPr>
          <w:rFonts w:ascii="Times New Roman" w:hAnsi="Times New Roman" w:cs="Times New Roman"/>
          <w:sz w:val="24"/>
          <w:szCs w:val="24"/>
        </w:rPr>
        <w:t>платіжні</w:t>
      </w:r>
      <w:proofErr w:type="spellEnd"/>
      <w:r w:rsidRPr="00694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73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proofErr w:type="gramStart"/>
      <w:r w:rsidRPr="00694A73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694A73">
        <w:rPr>
          <w:rFonts w:ascii="Times New Roman" w:hAnsi="Times New Roman" w:cs="Times New Roman"/>
          <w:sz w:val="24"/>
          <w:szCs w:val="24"/>
        </w:rPr>
        <w:t xml:space="preserve"> Закон </w:t>
      </w:r>
      <w:proofErr w:type="spellStart"/>
      <w:r w:rsidRPr="00694A7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30.06.2021 № 1591-IX</w:t>
      </w:r>
      <w:r w:rsidRPr="00694A73">
        <w:rPr>
          <w:rFonts w:ascii="Times New Roman" w:hAnsi="Times New Roman" w:cs="Times New Roman"/>
          <w:sz w:val="24"/>
          <w:szCs w:val="24"/>
        </w:rPr>
        <w:t>. URL: </w:t>
      </w:r>
      <w:hyperlink r:id="rId8" w:anchor="Text" w:tgtFrame="_blank" w:history="1">
        <w:r w:rsidRPr="00694A73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https://zakon.rada.gov.ua/laws/show/1591-20#Text</w:t>
        </w:r>
      </w:hyperlink>
      <w:r w:rsidRPr="00694A73">
        <w:rPr>
          <w:rFonts w:ascii="Times New Roman" w:hAnsi="Times New Roman" w:cs="Times New Roman"/>
          <w:sz w:val="24"/>
          <w:szCs w:val="24"/>
        </w:rPr>
        <w:t> </w:t>
      </w:r>
    </w:p>
    <w:p w:rsidR="00BF0014" w:rsidRDefault="0066772E" w:rsidP="00072E9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6772E">
        <w:rPr>
          <w:rFonts w:ascii="Times New Roman" w:hAnsi="Times New Roman" w:cs="Times New Roman"/>
          <w:sz w:val="24"/>
          <w:szCs w:val="24"/>
          <w:lang w:val="en-US"/>
        </w:rPr>
        <w:t>Khutorna</w:t>
      </w:r>
      <w:proofErr w:type="spellEnd"/>
      <w:r w:rsidRPr="0066772E">
        <w:rPr>
          <w:rFonts w:ascii="Times New Roman" w:hAnsi="Times New Roman" w:cs="Times New Roman"/>
          <w:sz w:val="24"/>
          <w:szCs w:val="24"/>
          <w:lang w:val="en-US"/>
        </w:rPr>
        <w:t xml:space="preserve"> M., </w:t>
      </w:r>
      <w:proofErr w:type="spellStart"/>
      <w:r w:rsidRPr="0066772E">
        <w:rPr>
          <w:rFonts w:ascii="Times New Roman" w:hAnsi="Times New Roman" w:cs="Times New Roman"/>
          <w:sz w:val="24"/>
          <w:szCs w:val="24"/>
          <w:lang w:val="en-US"/>
        </w:rPr>
        <w:t>Zaporozhets</w:t>
      </w:r>
      <w:proofErr w:type="spellEnd"/>
      <w:r w:rsidRPr="0066772E">
        <w:rPr>
          <w:rFonts w:ascii="Times New Roman" w:hAnsi="Times New Roman" w:cs="Times New Roman"/>
          <w:sz w:val="24"/>
          <w:szCs w:val="24"/>
          <w:lang w:val="en-US"/>
        </w:rPr>
        <w:t xml:space="preserve"> S., </w:t>
      </w:r>
      <w:proofErr w:type="spellStart"/>
      <w:r w:rsidRPr="0066772E">
        <w:rPr>
          <w:rFonts w:ascii="Times New Roman" w:hAnsi="Times New Roman" w:cs="Times New Roman"/>
          <w:sz w:val="24"/>
          <w:szCs w:val="24"/>
          <w:lang w:val="en-US"/>
        </w:rPr>
        <w:t>Tkachenko</w:t>
      </w:r>
      <w:proofErr w:type="spellEnd"/>
      <w:r w:rsidRPr="0066772E">
        <w:rPr>
          <w:rFonts w:ascii="Times New Roman" w:hAnsi="Times New Roman" w:cs="Times New Roman"/>
          <w:sz w:val="24"/>
          <w:szCs w:val="24"/>
          <w:lang w:val="en-US"/>
        </w:rPr>
        <w:t> Y. CENTRAL BANKS’ DIGITAL CURRENCIES: WORLD TRENDS AND PROSPECTS IN UKRAINE. </w:t>
      </w:r>
      <w:r w:rsidRPr="0066772E">
        <w:rPr>
          <w:rFonts w:ascii="Times New Roman" w:hAnsi="Times New Roman" w:cs="Times New Roman"/>
          <w:i/>
          <w:iCs/>
          <w:sz w:val="24"/>
          <w:szCs w:val="24"/>
        </w:rPr>
        <w:t>61</w:t>
      </w:r>
      <w:r w:rsidRPr="0066772E">
        <w:rPr>
          <w:rFonts w:ascii="Times New Roman" w:hAnsi="Times New Roman" w:cs="Times New Roman"/>
          <w:sz w:val="24"/>
          <w:szCs w:val="24"/>
        </w:rPr>
        <w:t xml:space="preserve">. 2021. </w:t>
      </w:r>
      <w:proofErr w:type="spellStart"/>
      <w:r w:rsidRPr="0066772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66772E">
        <w:rPr>
          <w:rFonts w:ascii="Times New Roman" w:hAnsi="Times New Roman" w:cs="Times New Roman"/>
          <w:sz w:val="24"/>
          <w:szCs w:val="24"/>
        </w:rPr>
        <w:t>. 61. P. 123–134. URL: </w:t>
      </w:r>
      <w:hyperlink r:id="rId9" w:tgtFrame="_blank" w:history="1">
        <w:r w:rsidRPr="0066772E">
          <w:rPr>
            <w:rStyle w:val="a3"/>
            <w:rFonts w:ascii="Times New Roman" w:hAnsi="Times New Roman" w:cs="Times New Roman"/>
            <w:sz w:val="24"/>
            <w:szCs w:val="24"/>
          </w:rPr>
          <w:t>https://doi.org/10.26565/2524-2547-2021-61-12</w:t>
        </w:r>
      </w:hyperlink>
      <w:r w:rsidRPr="0066772E">
        <w:rPr>
          <w:rFonts w:ascii="Times New Roman" w:hAnsi="Times New Roman" w:cs="Times New Roman"/>
          <w:sz w:val="24"/>
          <w:szCs w:val="24"/>
        </w:rPr>
        <w:t> </w:t>
      </w:r>
    </w:p>
    <w:p w:rsidR="00376088" w:rsidRPr="00376088" w:rsidRDefault="00B12E14" w:rsidP="00072E9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E14">
        <w:rPr>
          <w:rFonts w:ascii="Times New Roman" w:hAnsi="Times New Roman" w:cs="Times New Roman"/>
          <w:sz w:val="24"/>
          <w:szCs w:val="24"/>
          <w:lang w:val="en-US"/>
        </w:rPr>
        <w:t>Central Bank Digital Currency Tracker. </w:t>
      </w:r>
      <w:r w:rsidRPr="00B12E14">
        <w:rPr>
          <w:rFonts w:ascii="Times New Roman" w:hAnsi="Times New Roman" w:cs="Times New Roman"/>
          <w:i/>
          <w:iCs/>
          <w:sz w:val="24"/>
          <w:szCs w:val="24"/>
          <w:lang w:val="en-US"/>
        </w:rPr>
        <w:t>Atlantic Council</w:t>
      </w:r>
      <w:r w:rsidRPr="00B12E14">
        <w:rPr>
          <w:rFonts w:ascii="Times New Roman" w:hAnsi="Times New Roman" w:cs="Times New Roman"/>
          <w:sz w:val="24"/>
          <w:szCs w:val="24"/>
          <w:lang w:val="en-US"/>
        </w:rPr>
        <w:t>. URL: </w:t>
      </w:r>
      <w:hyperlink r:id="rId10" w:tgtFrame="_blank" w:history="1">
        <w:r w:rsidRPr="00B12E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https://www.atlanticcouncil.org/cbdctracker/</w:t>
        </w:r>
      </w:hyperlink>
      <w:r w:rsidRPr="00B12E1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376088" w:rsidRPr="00376088" w:rsidSect="009303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11F4C"/>
    <w:multiLevelType w:val="hybridMultilevel"/>
    <w:tmpl w:val="DEB20C0C"/>
    <w:lvl w:ilvl="0" w:tplc="E1087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98"/>
    <w:rsid w:val="00004320"/>
    <w:rsid w:val="00072E91"/>
    <w:rsid w:val="000852B2"/>
    <w:rsid w:val="001B1525"/>
    <w:rsid w:val="001E67BB"/>
    <w:rsid w:val="00200BB4"/>
    <w:rsid w:val="0023388F"/>
    <w:rsid w:val="002F2192"/>
    <w:rsid w:val="00376088"/>
    <w:rsid w:val="003A3A25"/>
    <w:rsid w:val="003C1ACD"/>
    <w:rsid w:val="00471E98"/>
    <w:rsid w:val="005C5792"/>
    <w:rsid w:val="00645F6A"/>
    <w:rsid w:val="0066772E"/>
    <w:rsid w:val="00694A73"/>
    <w:rsid w:val="00715528"/>
    <w:rsid w:val="00753DBD"/>
    <w:rsid w:val="00930360"/>
    <w:rsid w:val="009D0DDE"/>
    <w:rsid w:val="00AB140B"/>
    <w:rsid w:val="00AD41DE"/>
    <w:rsid w:val="00B12E14"/>
    <w:rsid w:val="00B51320"/>
    <w:rsid w:val="00B65B49"/>
    <w:rsid w:val="00B839E5"/>
    <w:rsid w:val="00BF0014"/>
    <w:rsid w:val="00C30920"/>
    <w:rsid w:val="00C756E0"/>
    <w:rsid w:val="00CB52F1"/>
    <w:rsid w:val="00D03C5F"/>
    <w:rsid w:val="00D57888"/>
    <w:rsid w:val="00DB3F83"/>
    <w:rsid w:val="00E22A0A"/>
    <w:rsid w:val="00E36D46"/>
    <w:rsid w:val="00E6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3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140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677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3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140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677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91-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nk.gov.ua/ua/payments/e-hryv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1-9867-665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tlanticcouncil.org/cbdctrack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6565/2524-2547-2021-6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2025-10-02T14:06:00Z</dcterms:created>
  <dcterms:modified xsi:type="dcterms:W3CDTF">2025-10-02T19:10:00Z</dcterms:modified>
</cp:coreProperties>
</file>