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7BFCB" w14:textId="77777777" w:rsidR="00A1165F" w:rsidRPr="00153281" w:rsidRDefault="00153281" w:rsidP="00153281">
      <w:pPr>
        <w:spacing w:after="0" w:line="360" w:lineRule="auto"/>
        <w:ind w:firstLine="709"/>
        <w:jc w:val="right"/>
        <w:rPr>
          <w:lang w:val="uk-UA"/>
        </w:rPr>
      </w:pPr>
      <w:r w:rsidRPr="00153281">
        <w:rPr>
          <w:lang w:val="uk-UA"/>
        </w:rPr>
        <w:t>Ананченко Владислав Володимирович, аспірант</w:t>
      </w:r>
    </w:p>
    <w:p w14:paraId="4A85BB2B" w14:textId="77777777" w:rsidR="00A1165F" w:rsidRPr="00153281" w:rsidRDefault="00153281" w:rsidP="00153281">
      <w:pPr>
        <w:spacing w:after="0" w:line="360" w:lineRule="auto"/>
        <w:ind w:firstLine="709"/>
        <w:jc w:val="right"/>
        <w:rPr>
          <w:lang w:val="uk-UA"/>
        </w:rPr>
      </w:pPr>
      <w:r w:rsidRPr="00153281">
        <w:rPr>
          <w:lang w:val="uk-UA"/>
        </w:rPr>
        <w:t>Міжнародний економіко‑гуманітарний університет</w:t>
      </w:r>
    </w:p>
    <w:p w14:paraId="076A3418" w14:textId="77777777" w:rsidR="00A1165F" w:rsidRPr="00153281" w:rsidRDefault="00153281" w:rsidP="00153281">
      <w:pPr>
        <w:spacing w:after="0" w:line="360" w:lineRule="auto"/>
        <w:ind w:firstLine="709"/>
        <w:jc w:val="right"/>
        <w:rPr>
          <w:lang w:val="uk-UA"/>
        </w:rPr>
      </w:pPr>
      <w:r w:rsidRPr="00153281">
        <w:rPr>
          <w:lang w:val="uk-UA"/>
        </w:rPr>
        <w:t>імені академіка Степана Дем’янчука</w:t>
      </w:r>
    </w:p>
    <w:p w14:paraId="105D3D89" w14:textId="77777777" w:rsidR="00A1165F" w:rsidRPr="00153281" w:rsidRDefault="00153281" w:rsidP="00153281">
      <w:pPr>
        <w:spacing w:after="0" w:line="360" w:lineRule="auto"/>
        <w:ind w:firstLine="709"/>
        <w:jc w:val="right"/>
        <w:rPr>
          <w:lang w:val="uk-UA"/>
        </w:rPr>
      </w:pPr>
      <w:r w:rsidRPr="00153281">
        <w:rPr>
          <w:lang w:val="uk-UA"/>
        </w:rPr>
        <w:t>Рівне, Україна</w:t>
      </w:r>
    </w:p>
    <w:p w14:paraId="640E68D0" w14:textId="1C1787DC" w:rsidR="00A1165F" w:rsidRPr="00153281" w:rsidRDefault="00153281" w:rsidP="00153281">
      <w:pPr>
        <w:spacing w:after="0" w:line="360" w:lineRule="auto"/>
        <w:ind w:firstLine="709"/>
        <w:jc w:val="right"/>
        <w:rPr>
          <w:lang w:val="uk-UA"/>
        </w:rPr>
      </w:pPr>
      <w:r w:rsidRPr="00153281">
        <w:rPr>
          <w:lang w:val="uk-UA"/>
        </w:rPr>
        <w:t xml:space="preserve">ORCID </w:t>
      </w:r>
      <w:r w:rsidRPr="00153281">
        <w:rPr>
          <w:lang w:val="uk-UA"/>
        </w:rPr>
        <w:t>0009-0004-8963-775X</w:t>
      </w:r>
    </w:p>
    <w:p w14:paraId="17D7EEAC" w14:textId="77777777" w:rsidR="00A1165F" w:rsidRPr="00153281" w:rsidRDefault="00A1165F" w:rsidP="00153281">
      <w:pPr>
        <w:spacing w:after="0" w:line="360" w:lineRule="auto"/>
        <w:ind w:firstLine="709"/>
        <w:jc w:val="right"/>
        <w:rPr>
          <w:lang w:val="uk-UA"/>
        </w:rPr>
      </w:pPr>
    </w:p>
    <w:p w14:paraId="51EC00AB" w14:textId="77777777" w:rsidR="00A1165F" w:rsidRPr="00153281" w:rsidRDefault="00153281" w:rsidP="00153281">
      <w:pPr>
        <w:spacing w:after="0" w:line="360" w:lineRule="auto"/>
        <w:ind w:firstLine="709"/>
        <w:jc w:val="right"/>
        <w:rPr>
          <w:highlight w:val="white"/>
          <w:lang w:val="uk-UA"/>
        </w:rPr>
      </w:pPr>
      <w:r w:rsidRPr="00153281">
        <w:rPr>
          <w:lang w:val="uk-UA"/>
        </w:rPr>
        <w:t xml:space="preserve">Лотюк Юрій Георгійович, </w:t>
      </w:r>
      <w:r w:rsidRPr="00153281">
        <w:rPr>
          <w:highlight w:val="white"/>
          <w:lang w:val="uk-UA"/>
        </w:rPr>
        <w:t xml:space="preserve">завідувач кафедри, </w:t>
      </w:r>
    </w:p>
    <w:p w14:paraId="65E28533" w14:textId="77777777" w:rsidR="00A1165F" w:rsidRPr="00153281" w:rsidRDefault="00153281" w:rsidP="00153281">
      <w:pPr>
        <w:spacing w:after="0" w:line="360" w:lineRule="auto"/>
        <w:ind w:firstLine="709"/>
        <w:jc w:val="right"/>
        <w:rPr>
          <w:highlight w:val="white"/>
          <w:lang w:val="uk-UA"/>
        </w:rPr>
      </w:pPr>
      <w:r w:rsidRPr="00153281">
        <w:rPr>
          <w:highlight w:val="white"/>
          <w:lang w:val="uk-UA"/>
        </w:rPr>
        <w:t>кандидат педагогічних наук, доцент,</w:t>
      </w:r>
    </w:p>
    <w:p w14:paraId="3E1CD0A4" w14:textId="77777777" w:rsidR="00A1165F" w:rsidRPr="00153281" w:rsidRDefault="00153281" w:rsidP="00153281">
      <w:pPr>
        <w:spacing w:after="0" w:line="360" w:lineRule="auto"/>
        <w:ind w:firstLine="709"/>
        <w:jc w:val="right"/>
        <w:rPr>
          <w:lang w:val="uk-UA"/>
        </w:rPr>
      </w:pPr>
      <w:r w:rsidRPr="00153281">
        <w:rPr>
          <w:highlight w:val="white"/>
          <w:lang w:val="uk-UA"/>
        </w:rPr>
        <w:t>доцент кафедри математичного моделювання</w:t>
      </w:r>
    </w:p>
    <w:p w14:paraId="727CF89E" w14:textId="77777777" w:rsidR="00A1165F" w:rsidRPr="00153281" w:rsidRDefault="00153281" w:rsidP="00153281">
      <w:pPr>
        <w:spacing w:after="0" w:line="360" w:lineRule="auto"/>
        <w:ind w:firstLine="709"/>
        <w:jc w:val="right"/>
        <w:rPr>
          <w:lang w:val="uk-UA"/>
        </w:rPr>
      </w:pPr>
      <w:r w:rsidRPr="00153281">
        <w:rPr>
          <w:lang w:val="uk-UA"/>
        </w:rPr>
        <w:t>Міжнародний економіко‑гуманітарний університет</w:t>
      </w:r>
    </w:p>
    <w:p w14:paraId="3F5ACBD2" w14:textId="77777777" w:rsidR="00A1165F" w:rsidRPr="00153281" w:rsidRDefault="00153281" w:rsidP="00153281">
      <w:pPr>
        <w:spacing w:after="0" w:line="360" w:lineRule="auto"/>
        <w:ind w:firstLine="709"/>
        <w:jc w:val="right"/>
        <w:rPr>
          <w:lang w:val="uk-UA"/>
        </w:rPr>
      </w:pPr>
      <w:r w:rsidRPr="00153281">
        <w:rPr>
          <w:lang w:val="uk-UA"/>
        </w:rPr>
        <w:t>імені академіка Степана Дем’янчука</w:t>
      </w:r>
    </w:p>
    <w:p w14:paraId="194A0C09" w14:textId="77777777" w:rsidR="00A1165F" w:rsidRPr="00153281" w:rsidRDefault="00153281" w:rsidP="00153281">
      <w:pPr>
        <w:spacing w:after="0" w:line="360" w:lineRule="auto"/>
        <w:ind w:firstLine="709"/>
        <w:jc w:val="right"/>
        <w:rPr>
          <w:lang w:val="uk-UA"/>
        </w:rPr>
      </w:pPr>
      <w:r w:rsidRPr="00153281">
        <w:rPr>
          <w:lang w:val="uk-UA"/>
        </w:rPr>
        <w:t>Рівне, Україна</w:t>
      </w:r>
    </w:p>
    <w:p w14:paraId="48BC7974" w14:textId="38BF0FBC" w:rsidR="00A1165F" w:rsidRPr="00153281" w:rsidRDefault="00153281" w:rsidP="00153281">
      <w:pPr>
        <w:spacing w:after="0" w:line="360" w:lineRule="auto"/>
        <w:ind w:firstLine="709"/>
        <w:jc w:val="right"/>
        <w:rPr>
          <w:lang w:val="uk-UA"/>
        </w:rPr>
      </w:pPr>
      <w:r w:rsidRPr="00153281">
        <w:rPr>
          <w:lang w:val="uk-UA"/>
        </w:rPr>
        <w:t xml:space="preserve">ORCID </w:t>
      </w:r>
      <w:r w:rsidRPr="00153281">
        <w:rPr>
          <w:lang w:val="uk-UA"/>
        </w:rPr>
        <w:t>0000-0001-6696-5583</w:t>
      </w:r>
    </w:p>
    <w:p w14:paraId="018C3C39" w14:textId="77777777" w:rsidR="00A1165F" w:rsidRPr="00153281" w:rsidRDefault="00A1165F" w:rsidP="00153281">
      <w:pPr>
        <w:spacing w:after="0" w:line="360" w:lineRule="auto"/>
        <w:ind w:firstLine="709"/>
        <w:jc w:val="right"/>
        <w:rPr>
          <w:lang w:val="uk-UA"/>
        </w:rPr>
      </w:pPr>
    </w:p>
    <w:p w14:paraId="1C975C8D" w14:textId="7DF6C4C0" w:rsidR="00A1165F" w:rsidRDefault="00153281" w:rsidP="00153281">
      <w:pPr>
        <w:spacing w:after="0" w:line="360" w:lineRule="auto"/>
        <w:ind w:firstLine="709"/>
        <w:jc w:val="center"/>
        <w:rPr>
          <w:b/>
          <w:lang w:val="uk-UA"/>
        </w:rPr>
      </w:pPr>
      <w:r w:rsidRPr="00153281">
        <w:rPr>
          <w:b/>
          <w:lang w:val="uk-UA"/>
        </w:rPr>
        <w:t>АРХІТЕКТУРА ПОДІЄВОГО ЛОГУВАННЯ КОРИСТУВАЧА НА ОСНОВІ CLOUDEV</w:t>
      </w:r>
      <w:r w:rsidRPr="00153281">
        <w:rPr>
          <w:b/>
          <w:lang w:val="uk-UA"/>
        </w:rPr>
        <w:t xml:space="preserve">ENTS ТА OPENTELEMETRY ДЛЯ </w:t>
      </w:r>
      <w:r w:rsidRPr="00153281">
        <w:rPr>
          <w:b/>
          <w:lang w:val="uk-UA"/>
        </w:rPr>
        <w:t>ВВЕДЕННЯ</w:t>
      </w:r>
      <w:r w:rsidRPr="00153281">
        <w:rPr>
          <w:b/>
          <w:lang w:val="uk-UA"/>
        </w:rPr>
        <w:t xml:space="preserve"> </w:t>
      </w:r>
      <w:r w:rsidRPr="00153281">
        <w:rPr>
          <w:b/>
          <w:lang w:val="uk-UA"/>
        </w:rPr>
        <w:t>ПОДІЙ</w:t>
      </w:r>
      <w:r w:rsidRPr="00153281">
        <w:rPr>
          <w:b/>
          <w:lang w:val="uk-UA"/>
        </w:rPr>
        <w:t>, КОРЕЛЯЦІЇ, АУДИТУ ТА АНАЛІТИКИ</w:t>
      </w:r>
    </w:p>
    <w:p w14:paraId="7EE701BE" w14:textId="77777777" w:rsidR="00153281" w:rsidRPr="00153281" w:rsidRDefault="00153281" w:rsidP="00153281">
      <w:pPr>
        <w:spacing w:after="0" w:line="360" w:lineRule="auto"/>
        <w:ind w:firstLine="709"/>
        <w:jc w:val="center"/>
        <w:rPr>
          <w:lang w:val="uk-UA"/>
        </w:rPr>
      </w:pPr>
    </w:p>
    <w:p w14:paraId="75C65287" w14:textId="77777777" w:rsidR="00A1165F" w:rsidRPr="00153281" w:rsidRDefault="00153281" w:rsidP="00153281">
      <w:pPr>
        <w:spacing w:after="0"/>
        <w:ind w:firstLine="851"/>
        <w:jc w:val="both"/>
        <w:rPr>
          <w:lang w:val="uk-UA"/>
        </w:rPr>
      </w:pPr>
      <w:r w:rsidRPr="00153281">
        <w:rPr>
          <w:lang w:val="uk-UA"/>
        </w:rPr>
        <w:t>С</w:t>
      </w:r>
      <w:r w:rsidRPr="00153281">
        <w:rPr>
          <w:lang w:val="uk-UA"/>
        </w:rPr>
        <w:t xml:space="preserve">учасні веб- та мобільні системи все частіше переходять на модель, де конфіденційність закладена з самого початку, з визначеними метриками спостережності. Скасування сторонніх </w:t>
      </w:r>
      <w:r w:rsidRPr="00153281">
        <w:rPr>
          <w:lang w:val="uk-UA"/>
        </w:rPr>
        <w:t>cookie, вимоги Загального регламенту захисту даних та потреба у прозорому аудиті користувацьких дій поступово витіснили практику нерегламентованих «логів як тексту».</w:t>
      </w:r>
      <w:r w:rsidRPr="00153281">
        <w:rPr>
          <w:lang w:val="uk-UA"/>
        </w:rPr>
        <w:t xml:space="preserve"> У реальних умовах функціонування </w:t>
      </w:r>
      <w:r w:rsidRPr="00153281">
        <w:rPr>
          <w:lang w:val="uk-UA"/>
        </w:rPr>
        <w:t>потрібні уніфіковані події з формально визначеним контрак</w:t>
      </w:r>
      <w:r w:rsidRPr="00153281">
        <w:rPr>
          <w:lang w:val="uk-UA"/>
        </w:rPr>
        <w:t>том, наскрізною кореляцією запитів і контрольованими політиками приватності. В такому середовищі холістичне співіснування CloudEvents, W3C Trace Context і OpenTelemetry формує основу для відтворених оглядів інцидентів, аудиторських зворотних зв'язків та ек</w:t>
      </w:r>
      <w:r w:rsidRPr="00153281">
        <w:rPr>
          <w:lang w:val="uk-UA"/>
        </w:rPr>
        <w:t>ономічно ефективної аналітики [1–4; 5–8].</w:t>
      </w:r>
    </w:p>
    <w:p w14:paraId="7644F264" w14:textId="77777777" w:rsidR="00A1165F" w:rsidRPr="00153281" w:rsidRDefault="00153281" w:rsidP="00153281">
      <w:pPr>
        <w:spacing w:after="0"/>
        <w:ind w:firstLine="851"/>
        <w:jc w:val="both"/>
        <w:rPr>
          <w:lang w:val="uk-UA"/>
        </w:rPr>
      </w:pPr>
      <w:r w:rsidRPr="00153281">
        <w:rPr>
          <w:lang w:val="uk-UA"/>
        </w:rPr>
        <w:t>Мета дослідження — представити узгоджену архітектуру подієвого логування користувача на базі CloudEvents, W3C Trace Context та OpenTelemetry і довести її придатність для прикладного за</w:t>
      </w:r>
      <w:r w:rsidRPr="00153281">
        <w:rPr>
          <w:lang w:val="uk-UA"/>
        </w:rPr>
        <w:t>стосування. Завдання включають</w:t>
      </w:r>
      <w:r w:rsidRPr="00153281">
        <w:rPr>
          <w:lang w:val="uk-UA"/>
        </w:rPr>
        <w:t xml:space="preserve"> </w:t>
      </w:r>
      <w:r w:rsidRPr="00153281">
        <w:rPr>
          <w:lang w:val="uk-UA"/>
        </w:rPr>
        <w:lastRenderedPageBreak/>
        <w:t>визначення мінімального контракту події, організацію кореляції запитів та політик обробки персональних даних на введення подій, а також експериментальну перевірку характеристик введення подій з подальшим формуванням аналітичн</w:t>
      </w:r>
      <w:r w:rsidRPr="00153281">
        <w:rPr>
          <w:lang w:val="uk-UA"/>
        </w:rPr>
        <w:t>их представлень у ClickHouse.</w:t>
      </w:r>
    </w:p>
    <w:p w14:paraId="6C9F5FCE" w14:textId="070FDF09" w:rsidR="00A1165F" w:rsidRPr="00153281" w:rsidRDefault="00153281" w:rsidP="00153281">
      <w:pPr>
        <w:spacing w:after="0"/>
        <w:ind w:firstLine="851"/>
        <w:jc w:val="both"/>
        <w:rPr>
          <w:lang w:val="uk-UA"/>
        </w:rPr>
      </w:pPr>
      <w:r w:rsidRPr="00153281">
        <w:rPr>
          <w:lang w:val="uk-UA"/>
        </w:rPr>
        <w:t>Дослідження має характер інженерного впровадження з подальшою апробацією на тестовому стенді. Формується мінімальний контракт події на основі CloudEvents, у клієнтський і серверний потоки вводиться кореляці</w:t>
      </w:r>
      <w:r w:rsidRPr="00153281">
        <w:rPr>
          <w:lang w:val="uk-UA"/>
        </w:rPr>
        <w:t xml:space="preserve">я W3C Trace Context, а на рівні введення подій забезпечується виконання політик обробки персональних даних. Для вимірювання характеристик введення подій відтворюється синтетичний потік подій зі зростанням інтенсивності; фіксуються 95-й перцентиль‑затримка </w:t>
      </w:r>
      <w:r w:rsidRPr="00153281">
        <w:rPr>
          <w:lang w:val="uk-UA"/>
        </w:rPr>
        <w:t>надходження та стійкість системи до пікових навантажень</w:t>
      </w:r>
      <w:r w:rsidRPr="00153281">
        <w:rPr>
          <w:lang w:val="uk-UA"/>
        </w:rPr>
        <w:t>. Подальший аналіз здійснюється в ClickHouse, де матеріалізуються агрегації, потрібні для інформаційних панелей й конверсійних розрахунків.</w:t>
      </w:r>
    </w:p>
    <w:p w14:paraId="4B97426B" w14:textId="77777777" w:rsidR="00A1165F" w:rsidRPr="00153281" w:rsidRDefault="00153281" w:rsidP="00153281">
      <w:pPr>
        <w:spacing w:after="0"/>
        <w:ind w:firstLine="851"/>
        <w:jc w:val="both"/>
        <w:rPr>
          <w:lang w:val="uk-UA"/>
        </w:rPr>
      </w:pPr>
      <w:r w:rsidRPr="00153281">
        <w:rPr>
          <w:lang w:val="uk-UA"/>
        </w:rPr>
        <w:t>Контракт події спирається на Clo</w:t>
      </w:r>
      <w:r w:rsidRPr="00153281">
        <w:rPr>
          <w:lang w:val="uk-UA"/>
        </w:rPr>
        <w:t>udEvents v1.0.2, обов’язкові поля (id, source, type, subject, time, data) складають мінімально зрозумілу описову рамку, а корисне навантаження свідомо зведено до бізнес‑критичних атрибутів [1–2]. Для розподіленої кореляції викликів використовуються tracepa</w:t>
      </w:r>
      <w:r w:rsidRPr="00153281">
        <w:rPr>
          <w:lang w:val="uk-UA"/>
        </w:rPr>
        <w:t>rent і tracestate, згідно з W3C Trace Context, що дає змогу пов’язати користувацькі кроки з низкою серверних обробників у мікросервісних сценаріях [3–4]. Політика конфіденційності реалізується як програмно контрольований процес — поля з персональними даним</w:t>
      </w:r>
      <w:r w:rsidRPr="00153281">
        <w:rPr>
          <w:lang w:val="uk-UA"/>
        </w:rPr>
        <w:t>и (PII) підлягають видаленню, маскуванню або хешуванню під час введення подій відповідно до рекомендацій OWASP і вимог GDPR до мінімізації та строків зберігання [7–8]. Узгодження з OpenTelemetry спирається на модель даних і семантичні конвенції для логів і</w:t>
      </w:r>
      <w:r w:rsidRPr="00153281">
        <w:rPr>
          <w:lang w:val="uk-UA"/>
        </w:rPr>
        <w:t xml:space="preserve"> подій; це уможливлює відтворювану інтерпретацію атрибутів на рівні всієї системи та розкриває потенціал метрик</w:t>
      </w:r>
      <w:r w:rsidRPr="00153281">
        <w:rPr>
          <w:lang w:val="uk-UA"/>
        </w:rPr>
        <w:t xml:space="preserve"> </w:t>
      </w:r>
      <w:r w:rsidRPr="00153281">
        <w:rPr>
          <w:lang w:val="uk-UA"/>
        </w:rPr>
        <w:t>щодо рівня обслуговування (SLO/SLA)‑контролю [5; 13–17].</w:t>
      </w:r>
    </w:p>
    <w:p w14:paraId="01B7A368" w14:textId="77777777" w:rsidR="00A1165F" w:rsidRPr="00153281" w:rsidRDefault="00153281" w:rsidP="00153281">
      <w:pPr>
        <w:spacing w:after="0"/>
        <w:ind w:firstLine="851"/>
        <w:jc w:val="both"/>
        <w:rPr>
          <w:lang w:val="uk-UA"/>
        </w:rPr>
      </w:pPr>
      <w:r w:rsidRPr="00153281">
        <w:rPr>
          <w:lang w:val="uk-UA"/>
        </w:rPr>
        <w:t>Введення подій побудовано за моделлю доста</w:t>
      </w:r>
      <w:r w:rsidRPr="00153281">
        <w:rPr>
          <w:lang w:val="uk-UA"/>
        </w:rPr>
        <w:t>влення «принаймні один раз» через Kafka з батчуванням та контрольованим зворотни</w:t>
      </w:r>
      <w:r w:rsidRPr="00153281">
        <w:rPr>
          <w:lang w:val="uk-UA"/>
        </w:rPr>
        <w:t xml:space="preserve">м </w:t>
      </w:r>
      <w:r w:rsidRPr="00153281">
        <w:rPr>
          <w:lang w:val="uk-UA"/>
        </w:rPr>
        <w:t xml:space="preserve">тиском (backpressure); до постановки в чергу застосовуються політики обробки персональних даних (мінімізація, маскування, псевдонімізація) і валідація контрактів CloudEvents </w:t>
      </w:r>
      <w:r w:rsidRPr="00153281">
        <w:rPr>
          <w:lang w:val="uk-UA"/>
        </w:rPr>
        <w:t>із кореляцією за W3C Trace Context [1–4; 7–8]. Транзакційний журнал ведеться у PostgreSQL з розширенням TimescaleDB</w:t>
      </w:r>
      <w:r w:rsidRPr="00153281">
        <w:rPr>
          <w:lang w:val="uk-UA"/>
        </w:rPr>
        <w:t xml:space="preserve">, де </w:t>
      </w:r>
      <w:r w:rsidRPr="00153281">
        <w:rPr>
          <w:lang w:val="uk-UA"/>
        </w:rPr>
        <w:t xml:space="preserve">політики зберігання (retention) й компресії забезпечують керовані витрати </w:t>
      </w:r>
      <w:r w:rsidRPr="00153281">
        <w:rPr>
          <w:lang w:val="uk-UA"/>
        </w:rPr>
        <w:t>н</w:t>
      </w:r>
      <w:r w:rsidRPr="00153281">
        <w:rPr>
          <w:lang w:val="uk-UA"/>
        </w:rPr>
        <w:t>а довгі часові історії аудиту [10–11]. Аналітичний шар реаліз</w:t>
      </w:r>
      <w:r w:rsidRPr="00153281">
        <w:rPr>
          <w:lang w:val="uk-UA"/>
        </w:rPr>
        <w:t xml:space="preserve">овано в ClickHouse (MergeTree) з продуманими ключами сортування та TTL‑політиками; агрегати для інформаційних панелей й SLO‑метрик формуються матеріалізованими уявленнями [12]. Узгодження з OpenTelemetry </w:t>
      </w:r>
      <w:r w:rsidRPr="00153281">
        <w:rPr>
          <w:lang w:val="uk-UA"/>
        </w:rPr>
        <w:lastRenderedPageBreak/>
        <w:t>(семантичні конвенції та атрибути логів) гарантує ві</w:t>
      </w:r>
      <w:r w:rsidRPr="00153281">
        <w:rPr>
          <w:lang w:val="uk-UA"/>
        </w:rPr>
        <w:t>дтворюваність інтерпретації подій у межах системи [13–17]. Порівняльні ролі сховищ див. табл. 1.</w:t>
      </w:r>
    </w:p>
    <w:p w14:paraId="7D047371" w14:textId="77777777" w:rsidR="00A1165F" w:rsidRPr="00153281" w:rsidRDefault="00153281" w:rsidP="00153281">
      <w:pPr>
        <w:spacing w:after="0"/>
        <w:ind w:firstLine="851"/>
        <w:jc w:val="both"/>
        <w:rPr>
          <w:lang w:val="uk-UA"/>
        </w:rPr>
      </w:pPr>
      <w:r w:rsidRPr="00153281">
        <w:rPr>
          <w:noProof/>
          <w:lang w:val="uk-UA"/>
        </w:rPr>
        <w:drawing>
          <wp:inline distT="0" distB="0" distL="114300" distR="114300" wp14:anchorId="63D574B6" wp14:editId="0EEB6288">
            <wp:extent cx="5400000" cy="3600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CDABC4" w14:textId="0D61D608" w:rsidR="00A1165F" w:rsidRDefault="00153281" w:rsidP="00153281">
      <w:pPr>
        <w:spacing w:after="0"/>
        <w:ind w:firstLine="851"/>
        <w:jc w:val="both"/>
        <w:rPr>
          <w:lang w:val="uk-UA"/>
        </w:rPr>
      </w:pPr>
      <w:r w:rsidRPr="00153281">
        <w:rPr>
          <w:lang w:val="uk-UA"/>
        </w:rPr>
        <w:t>Рис. 1. Залежність 95-го перцентиля затримки введення подій від інтенсивності потоку</w:t>
      </w:r>
      <w:r>
        <w:rPr>
          <w:lang w:val="uk-UA"/>
        </w:rPr>
        <w:t>.</w:t>
      </w:r>
    </w:p>
    <w:p w14:paraId="7D5C9C49" w14:textId="77777777" w:rsidR="00153281" w:rsidRPr="00153281" w:rsidRDefault="00153281" w:rsidP="00153281">
      <w:pPr>
        <w:spacing w:after="0"/>
        <w:ind w:firstLine="851"/>
        <w:jc w:val="both"/>
        <w:rPr>
          <w:lang w:val="uk-UA"/>
        </w:rPr>
      </w:pPr>
    </w:p>
    <w:p w14:paraId="69563283" w14:textId="02737991" w:rsidR="00A1165F" w:rsidRPr="00153281" w:rsidRDefault="00153281" w:rsidP="00153281">
      <w:pPr>
        <w:spacing w:after="0"/>
        <w:ind w:firstLine="851"/>
        <w:jc w:val="both"/>
        <w:rPr>
          <w:lang w:val="uk-UA"/>
        </w:rPr>
      </w:pPr>
      <w:r w:rsidRPr="00153281">
        <w:rPr>
          <w:lang w:val="uk-UA"/>
        </w:rPr>
        <w:t>Практичне розгортання доцільно починати з мінімального контракту CloudEvents і наскрізної кореляції за traceparent. Доцільно одразу створити узгодж</w:t>
      </w:r>
      <w:r w:rsidRPr="00153281">
        <w:rPr>
          <w:lang w:val="uk-UA"/>
        </w:rPr>
        <w:t xml:space="preserve">ений довідник типів подій, аби еволюція схеми відбувалася керовано й без втрат введення подій. Політики PII описуються декларативно, перевіряються у CI й виконуються у collector, тобто до постановки у чергу. У реальних умовах функціонування систем важливо </w:t>
      </w:r>
      <w:r w:rsidRPr="00153281">
        <w:rPr>
          <w:lang w:val="uk-UA"/>
        </w:rPr>
        <w:t xml:space="preserve">забезпечити ідемпотентність для нейтралізації повторних доставок, а також короткочасне буферування з керованим відсіюванням низькоцінних записів. Зберігання розмежовано за призначенням: транзакційний рівень для аудиту — PostgreSQL/TimescaleDB; аналітичний </w:t>
      </w:r>
      <w:r w:rsidRPr="00153281">
        <w:rPr>
          <w:lang w:val="uk-UA"/>
        </w:rPr>
        <w:t>рівень — ClickHouse як основне ядро. Для оперативного контролю стану системи доцільно відстежувати 95-й/99-й перцентилі затримки введення подій (</w:t>
      </w:r>
      <w:r>
        <w:rPr>
          <w:lang w:val="uk-UA"/>
        </w:rPr>
        <w:t>Р</w:t>
      </w:r>
      <w:r w:rsidRPr="00153281">
        <w:rPr>
          <w:lang w:val="uk-UA"/>
        </w:rPr>
        <w:t>ис. 1), частку відкинутих повідомлень і лаг у чергах, оскільки ці показники найтісніше пов’язані з досвід</w:t>
      </w:r>
      <w:r w:rsidRPr="00153281">
        <w:rPr>
          <w:lang w:val="uk-UA"/>
        </w:rPr>
        <w:t>ом користувача [5–6].</w:t>
      </w:r>
    </w:p>
    <w:p w14:paraId="6FC8A75A" w14:textId="77777777" w:rsidR="00A1165F" w:rsidRPr="00153281" w:rsidRDefault="00153281" w:rsidP="00153281">
      <w:pPr>
        <w:spacing w:after="0"/>
        <w:ind w:firstLine="851"/>
        <w:jc w:val="both"/>
        <w:rPr>
          <w:lang w:val="uk-UA"/>
        </w:rPr>
      </w:pPr>
      <w:r w:rsidRPr="00153281">
        <w:rPr>
          <w:lang w:val="uk-UA"/>
        </w:rPr>
        <w:t>Під «онбордингом» у цій роботі розуміється регламентована послідовність кроків для первинної реєстрації та ідентифікації користувача з метою надання повноцінного доступу до сервісу (реєстрація, підтвердження конт</w:t>
      </w:r>
      <w:r w:rsidRPr="00153281">
        <w:rPr>
          <w:lang w:val="uk-UA"/>
        </w:rPr>
        <w:t xml:space="preserve">актних даних, </w:t>
      </w:r>
      <w:r w:rsidRPr="00153281">
        <w:rPr>
          <w:lang w:val="uk-UA"/>
        </w:rPr>
        <w:lastRenderedPageBreak/>
        <w:t xml:space="preserve">надання згод, ідентифікація особи, первинні налаштування облікового запису). </w:t>
      </w:r>
      <w:r w:rsidRPr="00153281">
        <w:rPr>
          <w:lang w:val="uk-UA"/>
        </w:rPr>
        <w:t>Під час</w:t>
      </w:r>
      <w:r w:rsidRPr="00153281">
        <w:rPr>
          <w:lang w:val="uk-UA"/>
        </w:rPr>
        <w:t xml:space="preserve"> онбордингу клієнт послідовно проходить етапи заповнення даних, підтвердження та валідації. На кожному кроці формується подія типу flow.step.submitted із лако</w:t>
      </w:r>
      <w:r w:rsidRPr="00153281">
        <w:rPr>
          <w:lang w:val="uk-UA"/>
        </w:rPr>
        <w:t xml:space="preserve">нічним набором атрибутів: результат виконання, ідентифікатор кроку та перелік наявних полів. </w:t>
      </w:r>
      <w:r w:rsidRPr="00153281">
        <w:rPr>
          <w:lang w:val="uk-UA"/>
        </w:rPr>
        <w:t>О</w:t>
      </w:r>
      <w:r w:rsidRPr="00153281">
        <w:rPr>
          <w:lang w:val="uk-UA"/>
        </w:rPr>
        <w:t>пераційна обробка транзакцій (OLTP)‑шар забезпечує відтворюваний ланцюжок дій для аудиту,</w:t>
      </w:r>
      <w:r w:rsidRPr="00153281">
        <w:rPr>
          <w:lang w:val="uk-UA"/>
        </w:rPr>
        <w:t xml:space="preserve"> </w:t>
      </w:r>
      <w:r w:rsidRPr="00153281">
        <w:rPr>
          <w:lang w:val="uk-UA"/>
        </w:rPr>
        <w:t>аналітичний шар швидко обчислює конверсії між кроками, виявляє «вузькі м</w:t>
      </w:r>
      <w:r w:rsidRPr="00153281">
        <w:rPr>
          <w:lang w:val="uk-UA"/>
        </w:rPr>
        <w:t>ісця» в перевірках і допомагає ідентифікувати крихкі конфігурації середовища [10–12].</w:t>
      </w:r>
    </w:p>
    <w:p w14:paraId="610CCB52" w14:textId="41310F38" w:rsidR="00A1165F" w:rsidRPr="00153281" w:rsidRDefault="00153281" w:rsidP="00153281">
      <w:pPr>
        <w:spacing w:after="0"/>
        <w:ind w:firstLine="851"/>
        <w:jc w:val="both"/>
        <w:rPr>
          <w:lang w:val="uk-UA"/>
        </w:rPr>
      </w:pPr>
      <w:r w:rsidRPr="00153281">
        <w:rPr>
          <w:lang w:val="uk-UA"/>
        </w:rPr>
        <w:t xml:space="preserve">Запропонована конфігурація демонструє типові компроміси конвеєра подій з пріоритетом приватності. Для транспорту подій застосовується модель «принаймні один </w:t>
      </w:r>
      <w:r w:rsidRPr="00153281">
        <w:rPr>
          <w:lang w:val="uk-UA"/>
        </w:rPr>
        <w:t xml:space="preserve">раз», </w:t>
      </w:r>
      <w:r w:rsidRPr="00153281">
        <w:rPr>
          <w:lang w:val="uk-UA"/>
        </w:rPr>
        <w:t>оскільки</w:t>
      </w:r>
      <w:r w:rsidRPr="00153281">
        <w:rPr>
          <w:lang w:val="uk-UA"/>
        </w:rPr>
        <w:t xml:space="preserve"> ідемпотентність обробки є принциповою</w:t>
      </w:r>
      <w:r w:rsidRPr="00153281">
        <w:rPr>
          <w:lang w:val="uk-UA"/>
        </w:rPr>
        <w:t xml:space="preserve">, </w:t>
      </w:r>
      <w:r w:rsidRPr="00153281">
        <w:rPr>
          <w:lang w:val="uk-UA"/>
        </w:rPr>
        <w:t>повторні доставлення нейтралізуються на рівні колектора завдяки детермінованим ідентифікаторам подій та перевіркам у транзакційному журналі. Короткочасне буферування і контроль зворотн</w:t>
      </w:r>
      <w:r w:rsidRPr="00153281">
        <w:rPr>
          <w:lang w:val="uk-UA"/>
        </w:rPr>
        <w:t xml:space="preserve">ого </w:t>
      </w:r>
      <w:r w:rsidRPr="00153281">
        <w:rPr>
          <w:lang w:val="uk-UA"/>
        </w:rPr>
        <w:t>тиск</w:t>
      </w:r>
      <w:r w:rsidRPr="00153281">
        <w:rPr>
          <w:lang w:val="uk-UA"/>
        </w:rPr>
        <w:t>у в</w:t>
      </w:r>
      <w:r w:rsidRPr="00153281">
        <w:rPr>
          <w:lang w:val="uk-UA"/>
        </w:rPr>
        <w:t xml:space="preserve"> трансп</w:t>
      </w:r>
      <w:r w:rsidRPr="00153281">
        <w:rPr>
          <w:lang w:val="uk-UA"/>
        </w:rPr>
        <w:t>орті зменшують пікові затримки введення подій. Політики обробки персональних даних виконуються ще до постановки в чергу</w:t>
      </w:r>
      <w:r w:rsidRPr="00153281">
        <w:rPr>
          <w:lang w:val="uk-UA"/>
        </w:rPr>
        <w:t>. М</w:t>
      </w:r>
      <w:r w:rsidRPr="00153281">
        <w:rPr>
          <w:lang w:val="uk-UA"/>
        </w:rPr>
        <w:t>інімізація, маскування і псевдонімізація знижують ризики реідентифікації, при цьому зберігається можливість кореляції завдяки W3C Trac</w:t>
      </w:r>
      <w:r w:rsidRPr="00153281">
        <w:rPr>
          <w:lang w:val="uk-UA"/>
        </w:rPr>
        <w:t>e Context та семантичним атрибутам OpenTelemetry [3–6; 7–8; 13–17].</w:t>
      </w:r>
      <w:r>
        <w:rPr>
          <w:lang w:val="uk-UA"/>
        </w:rPr>
        <w:t xml:space="preserve"> Наведемо п</w:t>
      </w:r>
      <w:r w:rsidRPr="00153281">
        <w:rPr>
          <w:lang w:val="uk-UA"/>
        </w:rPr>
        <w:t>орівняння цільових сховищ для подій</w:t>
      </w:r>
      <w:r>
        <w:rPr>
          <w:lang w:val="uk-UA"/>
        </w:rPr>
        <w:t xml:space="preserve"> у таблиці 1.</w:t>
      </w:r>
    </w:p>
    <w:p w14:paraId="42E0EDDE" w14:textId="214A665E" w:rsidR="00A1165F" w:rsidRDefault="00153281" w:rsidP="00153281">
      <w:pPr>
        <w:spacing w:after="0"/>
        <w:ind w:firstLine="851"/>
        <w:jc w:val="right"/>
        <w:rPr>
          <w:lang w:val="uk-UA"/>
        </w:rPr>
      </w:pPr>
      <w:r>
        <w:rPr>
          <w:lang w:val="uk-UA"/>
        </w:rPr>
        <w:t>Таблиця 1.</w:t>
      </w:r>
    </w:p>
    <w:p w14:paraId="3E45DDB2" w14:textId="158F21B1" w:rsidR="00153281" w:rsidRPr="00153281" w:rsidRDefault="00153281" w:rsidP="00153281">
      <w:pPr>
        <w:spacing w:after="0"/>
        <w:ind w:firstLine="851"/>
        <w:jc w:val="right"/>
        <w:rPr>
          <w:lang w:val="uk-UA"/>
        </w:rPr>
      </w:pPr>
      <w:r w:rsidRPr="00153281">
        <w:rPr>
          <w:lang w:val="uk-UA"/>
        </w:rPr>
        <w:t>Порівняння цільових сховищ для подій.</w:t>
      </w:r>
    </w:p>
    <w:tbl>
      <w:tblPr>
        <w:tblStyle w:val="a5"/>
        <w:tblW w:w="997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4"/>
        <w:gridCol w:w="1994"/>
        <w:gridCol w:w="1994"/>
        <w:gridCol w:w="1994"/>
        <w:gridCol w:w="1994"/>
      </w:tblGrid>
      <w:tr w:rsidR="00A1165F" w:rsidRPr="00153281" w14:paraId="13B99124" w14:textId="77777777">
        <w:trPr>
          <w:jc w:val="center"/>
        </w:trPr>
        <w:tc>
          <w:tcPr>
            <w:tcW w:w="1994" w:type="dxa"/>
          </w:tcPr>
          <w:p w14:paraId="4A1238C3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Сховище</w:t>
            </w:r>
          </w:p>
        </w:tc>
        <w:tc>
          <w:tcPr>
            <w:tcW w:w="1994" w:type="dxa"/>
          </w:tcPr>
          <w:p w14:paraId="381865E2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Переваги</w:t>
            </w:r>
          </w:p>
        </w:tc>
        <w:tc>
          <w:tcPr>
            <w:tcW w:w="1994" w:type="dxa"/>
          </w:tcPr>
          <w:p w14:paraId="1B096F2A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Обмеження</w:t>
            </w:r>
          </w:p>
        </w:tc>
        <w:tc>
          <w:tcPr>
            <w:tcW w:w="1994" w:type="dxa"/>
          </w:tcPr>
          <w:p w14:paraId="53FA4C7D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Типові запити</w:t>
            </w:r>
          </w:p>
        </w:tc>
        <w:tc>
          <w:tcPr>
            <w:tcW w:w="1994" w:type="dxa"/>
          </w:tcPr>
          <w:p w14:paraId="44553406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Коли обирати</w:t>
            </w:r>
          </w:p>
        </w:tc>
      </w:tr>
      <w:tr w:rsidR="00A1165F" w:rsidRPr="00153281" w14:paraId="7866D5AE" w14:textId="77777777">
        <w:trPr>
          <w:jc w:val="center"/>
        </w:trPr>
        <w:tc>
          <w:tcPr>
            <w:tcW w:w="1994" w:type="dxa"/>
          </w:tcPr>
          <w:p w14:paraId="5101C614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PostgreSQL + JSONB</w:t>
            </w:r>
          </w:p>
        </w:tc>
        <w:tc>
          <w:tcPr>
            <w:tcW w:w="1994" w:type="dxa"/>
          </w:tcPr>
          <w:p w14:paraId="4C18C95A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ACID; SQL; індекси JSONB</w:t>
            </w:r>
          </w:p>
        </w:tc>
        <w:tc>
          <w:tcPr>
            <w:tcW w:w="1994" w:type="dxa"/>
          </w:tcPr>
          <w:p w14:paraId="6DF16499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Масова аналітика повільніша</w:t>
            </w:r>
          </w:p>
        </w:tc>
        <w:tc>
          <w:tcPr>
            <w:tcW w:w="1994" w:type="dxa"/>
          </w:tcPr>
          <w:p w14:paraId="60AD38CB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Аудит, історія подій</w:t>
            </w:r>
          </w:p>
        </w:tc>
        <w:tc>
          <w:tcPr>
            <w:tcW w:w="1994" w:type="dxa"/>
          </w:tcPr>
          <w:p w14:paraId="70689D48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Юридично значущий аудит [10]</w:t>
            </w:r>
          </w:p>
        </w:tc>
      </w:tr>
      <w:tr w:rsidR="00A1165F" w:rsidRPr="00153281" w14:paraId="17550E34" w14:textId="77777777">
        <w:trPr>
          <w:jc w:val="center"/>
        </w:trPr>
        <w:tc>
          <w:tcPr>
            <w:tcW w:w="1994" w:type="dxa"/>
          </w:tcPr>
          <w:p w14:paraId="1C205E3D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TimescaleDB</w:t>
            </w:r>
          </w:p>
        </w:tc>
        <w:tc>
          <w:tcPr>
            <w:tcW w:w="1994" w:type="dxa"/>
          </w:tcPr>
          <w:p w14:paraId="20CBFE8A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Hypertables; ретеншн; компресія</w:t>
            </w:r>
          </w:p>
        </w:tc>
        <w:tc>
          <w:tcPr>
            <w:tcW w:w="1994" w:type="dxa"/>
          </w:tcPr>
          <w:p w14:paraId="4CF0A656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Додаткова експлуатація</w:t>
            </w:r>
          </w:p>
        </w:tc>
        <w:tc>
          <w:tcPr>
            <w:tcW w:w="1994" w:type="dxa"/>
          </w:tcPr>
          <w:p w14:paraId="4729FF8B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Агрегати по часу</w:t>
            </w:r>
          </w:p>
        </w:tc>
        <w:tc>
          <w:tcPr>
            <w:tcW w:w="1994" w:type="dxa"/>
          </w:tcPr>
          <w:p w14:paraId="313D4A38" w14:textId="77777777" w:rsidR="00A1165F" w:rsidRPr="00153281" w:rsidRDefault="00153281" w:rsidP="00153281">
            <w:pPr>
              <w:spacing w:line="276" w:lineRule="auto"/>
              <w:jc w:val="both"/>
              <w:rPr>
                <w:sz w:val="24"/>
                <w:szCs w:val="24"/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Аудити великих часових рядків [11]</w:t>
            </w:r>
          </w:p>
        </w:tc>
      </w:tr>
      <w:tr w:rsidR="00A1165F" w:rsidRPr="00153281" w14:paraId="664317A2" w14:textId="77777777">
        <w:trPr>
          <w:jc w:val="center"/>
        </w:trPr>
        <w:tc>
          <w:tcPr>
            <w:tcW w:w="1994" w:type="dxa"/>
          </w:tcPr>
          <w:p w14:paraId="350E9BC9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ClickHouse (MergeTree)</w:t>
            </w:r>
          </w:p>
        </w:tc>
        <w:tc>
          <w:tcPr>
            <w:tcW w:w="1994" w:type="dxa"/>
          </w:tcPr>
          <w:p w14:paraId="0C7B3F05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Високі швидкості вставки/агрегатів</w:t>
            </w:r>
          </w:p>
        </w:tc>
        <w:tc>
          <w:tcPr>
            <w:tcW w:w="1994" w:type="dxa"/>
          </w:tcPr>
          <w:p w14:paraId="6F2D63DA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Вимогливість до схеми/ресурсів</w:t>
            </w:r>
          </w:p>
        </w:tc>
        <w:tc>
          <w:tcPr>
            <w:tcW w:w="1994" w:type="dxa"/>
          </w:tcPr>
          <w:p w14:paraId="3B5C9583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OLAP‑інформаційні</w:t>
            </w:r>
            <w:r w:rsidRPr="00153281">
              <w:rPr>
                <w:sz w:val="24"/>
                <w:szCs w:val="24"/>
                <w:lang w:val="uk-UA"/>
              </w:rPr>
              <w:t xml:space="preserve"> панелі</w:t>
            </w:r>
          </w:p>
        </w:tc>
        <w:tc>
          <w:tcPr>
            <w:tcW w:w="1994" w:type="dxa"/>
          </w:tcPr>
          <w:p w14:paraId="69E08B0B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Аналітика високих обсягів [12]</w:t>
            </w:r>
          </w:p>
        </w:tc>
      </w:tr>
      <w:tr w:rsidR="00A1165F" w:rsidRPr="00153281" w14:paraId="16B4BF3E" w14:textId="77777777">
        <w:trPr>
          <w:jc w:val="center"/>
        </w:trPr>
        <w:tc>
          <w:tcPr>
            <w:tcW w:w="1994" w:type="dxa"/>
          </w:tcPr>
          <w:p w14:paraId="36EE9E9C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Kafka (лог)</w:t>
            </w:r>
          </w:p>
        </w:tc>
        <w:tc>
          <w:tcPr>
            <w:tcW w:w="1994" w:type="dxa"/>
          </w:tcPr>
          <w:p w14:paraId="7B478AB4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Буфер; повторні спроби (retries); розв’язування зв’язності (decoupling)</w:t>
            </w:r>
          </w:p>
        </w:tc>
        <w:tc>
          <w:tcPr>
            <w:tcW w:w="1994" w:type="dxa"/>
          </w:tcPr>
          <w:p w14:paraId="02A118E6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Не довготривале зберігання</w:t>
            </w:r>
          </w:p>
        </w:tc>
        <w:tc>
          <w:tcPr>
            <w:tcW w:w="1994" w:type="dxa"/>
          </w:tcPr>
          <w:p w14:paraId="7944EC9E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Стріми/ретрансляція</w:t>
            </w:r>
          </w:p>
        </w:tc>
        <w:tc>
          <w:tcPr>
            <w:tcW w:w="1994" w:type="dxa"/>
          </w:tcPr>
          <w:p w14:paraId="64366B06" w14:textId="77777777" w:rsidR="00A1165F" w:rsidRPr="00153281" w:rsidRDefault="00153281" w:rsidP="00153281">
            <w:pPr>
              <w:spacing w:line="276" w:lineRule="auto"/>
              <w:jc w:val="both"/>
              <w:rPr>
                <w:lang w:val="uk-UA"/>
              </w:rPr>
            </w:pPr>
            <w:r w:rsidRPr="00153281">
              <w:rPr>
                <w:sz w:val="24"/>
                <w:szCs w:val="24"/>
                <w:lang w:val="uk-UA"/>
              </w:rPr>
              <w:t>Розв’язування піків навантаження [9]</w:t>
            </w:r>
          </w:p>
        </w:tc>
      </w:tr>
    </w:tbl>
    <w:p w14:paraId="7B0CF5C8" w14:textId="2E524D71" w:rsidR="00A1165F" w:rsidRPr="00153281" w:rsidRDefault="00153281" w:rsidP="00153281">
      <w:pPr>
        <w:spacing w:after="0"/>
        <w:jc w:val="both"/>
        <w:rPr>
          <w:lang w:val="uk-UA"/>
        </w:rPr>
      </w:pPr>
      <w:r w:rsidRPr="00153281">
        <w:rPr>
          <w:lang w:val="uk-UA"/>
        </w:rPr>
        <w:br/>
      </w:r>
      <w:r w:rsidRPr="00153281">
        <w:rPr>
          <w:lang w:val="uk-UA"/>
        </w:rPr>
        <w:t xml:space="preserve">Стабільність схеми забезпечується реєстром типів подій і контрактним тестуванням </w:t>
      </w:r>
      <w:r w:rsidRPr="00153281">
        <w:rPr>
          <w:lang w:val="uk-UA"/>
        </w:rPr>
        <w:lastRenderedPageBreak/>
        <w:t>у CI</w:t>
      </w:r>
      <w:r w:rsidRPr="00153281">
        <w:rPr>
          <w:lang w:val="uk-UA"/>
        </w:rPr>
        <w:t xml:space="preserve">. </w:t>
      </w:r>
      <w:r w:rsidRPr="00153281">
        <w:rPr>
          <w:lang w:val="uk-UA"/>
        </w:rPr>
        <w:t>На рівні операційн</w:t>
      </w:r>
      <w:r w:rsidRPr="00153281">
        <w:rPr>
          <w:lang w:val="uk-UA"/>
        </w:rPr>
        <w:t xml:space="preserve">ої </w:t>
      </w:r>
      <w:r w:rsidRPr="00153281">
        <w:rPr>
          <w:lang w:val="uk-UA"/>
        </w:rPr>
        <w:t>обробк</w:t>
      </w:r>
      <w:r w:rsidRPr="00153281">
        <w:rPr>
          <w:lang w:val="uk-UA"/>
        </w:rPr>
        <w:t xml:space="preserve">и </w:t>
      </w:r>
      <w:r w:rsidRPr="00153281">
        <w:rPr>
          <w:lang w:val="uk-UA"/>
        </w:rPr>
        <w:t>транзакцій (OLTP)‑аудиту доцільно обмежувати кількість індексів JSONB лише бізнес‑критичним</w:t>
      </w:r>
      <w:r w:rsidRPr="00153281">
        <w:rPr>
          <w:lang w:val="uk-UA"/>
        </w:rPr>
        <w:t>и ключами та застосовувати можливості TimescaleDB (hypertables,</w:t>
      </w:r>
      <w:r w:rsidRPr="00153281">
        <w:rPr>
          <w:lang w:val="uk-UA"/>
        </w:rPr>
        <w:t xml:space="preserve"> </w:t>
      </w:r>
      <w:r w:rsidRPr="00153281">
        <w:rPr>
          <w:lang w:val="uk-UA"/>
        </w:rPr>
        <w:t>політики зберігання й компресії) для довгих часових історій [10–11]. В аналітичному шарі</w:t>
      </w:r>
      <w:r w:rsidRPr="00153281">
        <w:rPr>
          <w:lang w:val="uk-UA"/>
        </w:rPr>
        <w:t xml:space="preserve">, </w:t>
      </w:r>
      <w:r w:rsidRPr="00153281">
        <w:rPr>
          <w:lang w:val="uk-UA"/>
        </w:rPr>
        <w:t>ClickHouse потребує уважного вибору ключів сортування й TTL‑політик для контролю write‑amplification</w:t>
      </w:r>
      <w:r w:rsidRPr="00153281">
        <w:rPr>
          <w:lang w:val="uk-UA"/>
        </w:rPr>
        <w:t xml:space="preserve">, </w:t>
      </w:r>
      <w:r w:rsidRPr="00153281">
        <w:rPr>
          <w:lang w:val="uk-UA"/>
        </w:rPr>
        <w:t xml:space="preserve">а </w:t>
      </w:r>
      <w:r w:rsidRPr="00153281">
        <w:rPr>
          <w:lang w:val="uk-UA"/>
        </w:rPr>
        <w:t>матеріалізовані представлення спрощують формування агрегованих представлень для інформаційних панелей та SLO‑метрик [12]. У сукупності це дає відтворювані розслідування інцидентів і прозорий облік користувацьких дій без колізій між рівнями зберігання.</w:t>
      </w:r>
    </w:p>
    <w:p w14:paraId="530EE599" w14:textId="77777777" w:rsidR="00A1165F" w:rsidRPr="00153281" w:rsidRDefault="00153281" w:rsidP="00153281">
      <w:pPr>
        <w:spacing w:after="0"/>
        <w:ind w:firstLine="851"/>
        <w:jc w:val="both"/>
        <w:rPr>
          <w:lang w:val="uk-UA"/>
        </w:rPr>
      </w:pPr>
      <w:r w:rsidRPr="00153281">
        <w:rPr>
          <w:lang w:val="uk-UA"/>
        </w:rPr>
        <w:t>Запропонована архітектура демонструє узгодження подієвих контрактів CloudEvents із розподіленою кореляцією W3C Trace Context та семантикою OpenTelemetry. Таке поєднання забезпечує водночас юридично значущий аудит у транзакційному шарі й продуктивну</w:t>
      </w:r>
      <w:r w:rsidRPr="00153281">
        <w:rPr>
          <w:lang w:val="uk-UA"/>
        </w:rPr>
        <w:t xml:space="preserve"> аналітику в (OLAP)‑середовищі. Рішення відповідає викликам сьогодення, коли приватність і спостережуваність є стандартом якості; практична методика свідчить, що стартова конфігурація може бути мінімальною — достатньо узгодженого контракту, прозорих політи</w:t>
      </w:r>
      <w:r w:rsidRPr="00153281">
        <w:rPr>
          <w:lang w:val="uk-UA"/>
        </w:rPr>
        <w:t>к PII та семантично послідовних логів, аби отримати відтворювані інцидент‑розслідування та керовану вартість зберігання [1–12; 13–18].</w:t>
      </w:r>
    </w:p>
    <w:p w14:paraId="0D6D3016" w14:textId="77777777" w:rsidR="00153281" w:rsidRDefault="00153281" w:rsidP="00153281">
      <w:pPr>
        <w:spacing w:after="0"/>
        <w:jc w:val="center"/>
        <w:rPr>
          <w:b/>
          <w:sz w:val="24"/>
          <w:szCs w:val="24"/>
          <w:lang w:val="uk-UA"/>
        </w:rPr>
      </w:pPr>
    </w:p>
    <w:p w14:paraId="57AB35EE" w14:textId="30DA85F3" w:rsidR="00A1165F" w:rsidRDefault="00153281" w:rsidP="00153281">
      <w:pPr>
        <w:spacing w:after="0"/>
        <w:jc w:val="center"/>
        <w:rPr>
          <w:b/>
          <w:sz w:val="24"/>
          <w:szCs w:val="24"/>
          <w:lang w:val="uk-UA"/>
        </w:rPr>
      </w:pPr>
      <w:r w:rsidRPr="00153281">
        <w:rPr>
          <w:b/>
          <w:sz w:val="24"/>
          <w:szCs w:val="24"/>
          <w:lang w:val="uk-UA"/>
        </w:rPr>
        <w:t>Література</w:t>
      </w:r>
    </w:p>
    <w:p w14:paraId="4A517978" w14:textId="77777777" w:rsidR="00153281" w:rsidRPr="00153281" w:rsidRDefault="00153281" w:rsidP="00153281">
      <w:pPr>
        <w:spacing w:after="0"/>
        <w:jc w:val="center"/>
        <w:rPr>
          <w:sz w:val="20"/>
          <w:szCs w:val="20"/>
          <w:lang w:val="uk-UA"/>
        </w:rPr>
      </w:pPr>
    </w:p>
    <w:p w14:paraId="5E40D93B" w14:textId="77777777" w:rsidR="00A1165F" w:rsidRPr="00153281" w:rsidRDefault="00153281" w:rsidP="00153281">
      <w:pPr>
        <w:spacing w:after="0"/>
        <w:ind w:firstLine="851"/>
        <w:jc w:val="both"/>
        <w:rPr>
          <w:sz w:val="24"/>
          <w:szCs w:val="24"/>
          <w:lang w:val="uk-UA"/>
        </w:rPr>
      </w:pPr>
      <w:r w:rsidRPr="00153281">
        <w:rPr>
          <w:sz w:val="24"/>
          <w:szCs w:val="24"/>
          <w:lang w:val="uk-UA"/>
        </w:rPr>
        <w:t>1. CloudEvents. CloudEvents Specification v1.0.2 [Електронний ресурс]. – Режим доступу: https://github.com/cl</w:t>
      </w:r>
      <w:r w:rsidRPr="00153281">
        <w:rPr>
          <w:sz w:val="24"/>
          <w:szCs w:val="24"/>
          <w:lang w:val="uk-UA"/>
        </w:rPr>
        <w:t>oudevents/spec (дата звернення: 06.11.2025).</w:t>
      </w:r>
    </w:p>
    <w:p w14:paraId="78DA8A3E" w14:textId="77777777" w:rsidR="00A1165F" w:rsidRPr="00153281" w:rsidRDefault="00153281" w:rsidP="00153281">
      <w:pPr>
        <w:spacing w:after="0"/>
        <w:ind w:firstLine="851"/>
        <w:jc w:val="both"/>
        <w:rPr>
          <w:sz w:val="24"/>
          <w:szCs w:val="24"/>
          <w:lang w:val="uk-UA"/>
        </w:rPr>
      </w:pPr>
      <w:r w:rsidRPr="00153281">
        <w:rPr>
          <w:sz w:val="24"/>
          <w:szCs w:val="24"/>
          <w:lang w:val="uk-UA"/>
        </w:rPr>
        <w:t>2. CloudEvents. Офіційний сайт CloudEvents [Електронний ресурс]. – Режим доступу: https://cloudevents.io/ (дата звернення: 06.11.2025).</w:t>
      </w:r>
    </w:p>
    <w:p w14:paraId="72F6563F" w14:textId="77777777" w:rsidR="00A1165F" w:rsidRPr="00153281" w:rsidRDefault="00153281" w:rsidP="00153281">
      <w:pPr>
        <w:spacing w:after="0"/>
        <w:ind w:firstLine="851"/>
        <w:jc w:val="both"/>
        <w:rPr>
          <w:sz w:val="24"/>
          <w:szCs w:val="24"/>
          <w:lang w:val="uk-UA"/>
        </w:rPr>
      </w:pPr>
      <w:r w:rsidRPr="00153281">
        <w:rPr>
          <w:sz w:val="24"/>
          <w:szCs w:val="24"/>
          <w:lang w:val="uk-UA"/>
        </w:rPr>
        <w:t>3. W3C. Trace Context. Recommendation [Електронний ресурс]. – Режим доступу</w:t>
      </w:r>
      <w:r w:rsidRPr="00153281">
        <w:rPr>
          <w:sz w:val="24"/>
          <w:szCs w:val="24"/>
          <w:lang w:val="uk-UA"/>
        </w:rPr>
        <w:t>: https://www.w3.org/TR/trace-context/ (дата звернення: 06.11.2025).</w:t>
      </w:r>
    </w:p>
    <w:p w14:paraId="6F57941D" w14:textId="77777777" w:rsidR="00A1165F" w:rsidRPr="00153281" w:rsidRDefault="00153281" w:rsidP="00153281">
      <w:pPr>
        <w:spacing w:after="0"/>
        <w:ind w:firstLine="851"/>
        <w:jc w:val="both"/>
        <w:rPr>
          <w:sz w:val="24"/>
          <w:szCs w:val="24"/>
          <w:lang w:val="uk-UA"/>
        </w:rPr>
      </w:pPr>
      <w:r w:rsidRPr="00153281">
        <w:rPr>
          <w:sz w:val="24"/>
          <w:szCs w:val="24"/>
          <w:lang w:val="uk-UA"/>
        </w:rPr>
        <w:t>4. W3C. Trace Context Level 2. Candidate Recommendation Draft, 28.03.2024 [Електронний ресурс]. – Режим доступу: https://www.w3.org/TR/trace-context-2/ (дата звернення: 06.11.2025).</w:t>
      </w:r>
    </w:p>
    <w:p w14:paraId="0DDA05AA" w14:textId="77777777" w:rsidR="00A1165F" w:rsidRPr="00153281" w:rsidRDefault="00153281" w:rsidP="00153281">
      <w:pPr>
        <w:spacing w:after="0"/>
        <w:ind w:firstLine="851"/>
        <w:jc w:val="both"/>
        <w:rPr>
          <w:sz w:val="24"/>
          <w:szCs w:val="24"/>
          <w:lang w:val="uk-UA"/>
        </w:rPr>
      </w:pPr>
      <w:r w:rsidRPr="00153281">
        <w:rPr>
          <w:sz w:val="24"/>
          <w:szCs w:val="24"/>
          <w:lang w:val="uk-UA"/>
        </w:rPr>
        <w:t>5. Op</w:t>
      </w:r>
      <w:r w:rsidRPr="00153281">
        <w:rPr>
          <w:sz w:val="24"/>
          <w:szCs w:val="24"/>
          <w:lang w:val="uk-UA"/>
        </w:rPr>
        <w:t>enTelemetry. Logs Specification [Електронний ресурс]. – Режим доступу: https://opentelemetry.io/docs/specs/otel/logs/ (дата звернення: 06.11.2025).</w:t>
      </w:r>
    </w:p>
    <w:p w14:paraId="0017F83E" w14:textId="77777777" w:rsidR="00A1165F" w:rsidRPr="00153281" w:rsidRDefault="00153281" w:rsidP="00153281">
      <w:pPr>
        <w:spacing w:after="0"/>
        <w:ind w:firstLine="851"/>
        <w:jc w:val="both"/>
        <w:rPr>
          <w:sz w:val="24"/>
          <w:szCs w:val="24"/>
          <w:lang w:val="uk-UA"/>
        </w:rPr>
      </w:pPr>
      <w:r w:rsidRPr="00153281">
        <w:rPr>
          <w:sz w:val="24"/>
          <w:szCs w:val="24"/>
          <w:lang w:val="uk-UA"/>
        </w:rPr>
        <w:t>6. OpenTelemetry. Logs (Concepts) [Електронний ресурс]. – Режим доступу: https://opentelemetry.io/docs/conce</w:t>
      </w:r>
      <w:r w:rsidRPr="00153281">
        <w:rPr>
          <w:sz w:val="24"/>
          <w:szCs w:val="24"/>
          <w:lang w:val="uk-UA"/>
        </w:rPr>
        <w:t>pts/signals/logs/ (дата звернення: 06.11.2025).</w:t>
      </w:r>
    </w:p>
    <w:p w14:paraId="329B1FD1" w14:textId="77777777" w:rsidR="00A1165F" w:rsidRPr="00153281" w:rsidRDefault="00153281" w:rsidP="00153281">
      <w:pPr>
        <w:spacing w:after="0"/>
        <w:ind w:firstLine="851"/>
        <w:jc w:val="both"/>
        <w:rPr>
          <w:sz w:val="24"/>
          <w:szCs w:val="24"/>
          <w:lang w:val="uk-UA"/>
        </w:rPr>
      </w:pPr>
      <w:r w:rsidRPr="00153281">
        <w:rPr>
          <w:sz w:val="24"/>
          <w:szCs w:val="24"/>
          <w:lang w:val="uk-UA"/>
        </w:rPr>
        <w:t>7. OWASP. Logging Cheat Sheet [Електронний ресурс]. – Режим доступу: https://cheatsheetseries.owasp.org/cheatsheets/Logging_Cheat_Sheet.html (дата звернення: 06.11.2025).</w:t>
      </w:r>
    </w:p>
    <w:p w14:paraId="04205EBC" w14:textId="77777777" w:rsidR="00A1165F" w:rsidRPr="00153281" w:rsidRDefault="00153281" w:rsidP="00153281">
      <w:pPr>
        <w:spacing w:after="0"/>
        <w:ind w:firstLine="851"/>
        <w:jc w:val="both"/>
        <w:rPr>
          <w:sz w:val="24"/>
          <w:szCs w:val="24"/>
          <w:lang w:val="uk-UA"/>
        </w:rPr>
      </w:pPr>
      <w:r w:rsidRPr="00153281">
        <w:rPr>
          <w:sz w:val="24"/>
          <w:szCs w:val="24"/>
          <w:lang w:val="uk-UA"/>
        </w:rPr>
        <w:t>8. ЄС. Загальний регламент захисту да</w:t>
      </w:r>
      <w:r w:rsidRPr="00153281">
        <w:rPr>
          <w:sz w:val="24"/>
          <w:szCs w:val="24"/>
          <w:lang w:val="uk-UA"/>
        </w:rPr>
        <w:t>них (GDPR) №2016/679 [Електронний ресурс]. – Режим доступу: https://eur-lex.europa.eu/eli/reg/2016/679/oj (дата звернення: 06.11.2025).</w:t>
      </w:r>
    </w:p>
    <w:p w14:paraId="68DF102F" w14:textId="77777777" w:rsidR="00A1165F" w:rsidRPr="00153281" w:rsidRDefault="00153281" w:rsidP="00153281">
      <w:pPr>
        <w:spacing w:after="0"/>
        <w:ind w:firstLine="851"/>
        <w:jc w:val="both"/>
        <w:rPr>
          <w:sz w:val="24"/>
          <w:szCs w:val="24"/>
          <w:lang w:val="uk-UA"/>
        </w:rPr>
      </w:pPr>
      <w:r w:rsidRPr="00153281">
        <w:rPr>
          <w:sz w:val="24"/>
          <w:szCs w:val="24"/>
          <w:lang w:val="uk-UA"/>
        </w:rPr>
        <w:t>9. Apache Kafka. Introduction [Електронний ресурс]. – Режим доступу: https://kafka.apache.org/intro (дата звернення: 06.</w:t>
      </w:r>
      <w:r w:rsidRPr="00153281">
        <w:rPr>
          <w:sz w:val="24"/>
          <w:szCs w:val="24"/>
          <w:lang w:val="uk-UA"/>
        </w:rPr>
        <w:t>11.2025).</w:t>
      </w:r>
    </w:p>
    <w:p w14:paraId="507CDCA0" w14:textId="77777777" w:rsidR="00A1165F" w:rsidRPr="00153281" w:rsidRDefault="00153281" w:rsidP="00153281">
      <w:pPr>
        <w:spacing w:after="0"/>
        <w:ind w:firstLine="851"/>
        <w:jc w:val="both"/>
        <w:rPr>
          <w:sz w:val="24"/>
          <w:szCs w:val="24"/>
          <w:lang w:val="uk-UA"/>
        </w:rPr>
      </w:pPr>
      <w:r w:rsidRPr="00153281">
        <w:rPr>
          <w:sz w:val="24"/>
          <w:szCs w:val="24"/>
          <w:lang w:val="uk-UA"/>
        </w:rPr>
        <w:lastRenderedPageBreak/>
        <w:t>10. PostgreSQL. Типи даних JSON і JSONB [Електронний ресурс]. – Режим доступу: https://www.postgresql.org/docs/current/datatype-json.html (дата звернення: 06.11.2025).</w:t>
      </w:r>
    </w:p>
    <w:p w14:paraId="6128C223" w14:textId="77777777" w:rsidR="00A1165F" w:rsidRPr="00153281" w:rsidRDefault="00153281" w:rsidP="00153281">
      <w:pPr>
        <w:spacing w:after="0"/>
        <w:ind w:firstLine="851"/>
        <w:jc w:val="both"/>
        <w:rPr>
          <w:sz w:val="24"/>
          <w:szCs w:val="24"/>
          <w:lang w:val="uk-UA"/>
        </w:rPr>
      </w:pPr>
      <w:r w:rsidRPr="00153281">
        <w:rPr>
          <w:sz w:val="24"/>
          <w:szCs w:val="24"/>
          <w:lang w:val="uk-UA"/>
        </w:rPr>
        <w:t>11. TimescaleDB. Hypertables (офіційна документація) [Електронний ресурс]. – Р</w:t>
      </w:r>
      <w:r w:rsidRPr="00153281">
        <w:rPr>
          <w:sz w:val="24"/>
          <w:szCs w:val="24"/>
          <w:lang w:val="uk-UA"/>
        </w:rPr>
        <w:t>ежим доступу: https://docs.tigerdata.com/use-timescale/latest/hypertables/ (дата звернення: 06.11.2025).</w:t>
      </w:r>
    </w:p>
    <w:p w14:paraId="73AC94A6" w14:textId="77777777" w:rsidR="00A1165F" w:rsidRPr="00153281" w:rsidRDefault="00153281" w:rsidP="00153281">
      <w:pPr>
        <w:spacing w:after="0"/>
        <w:ind w:firstLine="851"/>
        <w:jc w:val="both"/>
        <w:rPr>
          <w:sz w:val="24"/>
          <w:szCs w:val="24"/>
          <w:lang w:val="uk-UA"/>
        </w:rPr>
      </w:pPr>
      <w:r w:rsidRPr="00153281">
        <w:rPr>
          <w:sz w:val="24"/>
          <w:szCs w:val="24"/>
          <w:lang w:val="uk-UA"/>
        </w:rPr>
        <w:t>12. ClickHouse. MergeTree table engine [Електронний ресурс]. – Режим доступу: https://clickhouse.com/docs/engines/table-engines/mergetree-family/merget</w:t>
      </w:r>
      <w:r w:rsidRPr="00153281">
        <w:rPr>
          <w:sz w:val="24"/>
          <w:szCs w:val="24"/>
          <w:lang w:val="uk-UA"/>
        </w:rPr>
        <w:t>ree (дата звернення: 06.11.2025).</w:t>
      </w:r>
    </w:p>
    <w:p w14:paraId="3ECF9FA3" w14:textId="77777777" w:rsidR="00A1165F" w:rsidRPr="00153281" w:rsidRDefault="00153281" w:rsidP="00153281">
      <w:pPr>
        <w:spacing w:after="0"/>
        <w:ind w:firstLine="851"/>
        <w:jc w:val="both"/>
        <w:rPr>
          <w:sz w:val="24"/>
          <w:szCs w:val="24"/>
          <w:lang w:val="uk-UA"/>
        </w:rPr>
      </w:pPr>
      <w:r w:rsidRPr="00153281">
        <w:rPr>
          <w:sz w:val="24"/>
          <w:szCs w:val="24"/>
          <w:lang w:val="uk-UA"/>
        </w:rPr>
        <w:t>13. OpenTelemetry. Semantic Conventions (Overview) [Електронний ресурс]. – Режим доступу: https://opentelemetry.io/docs/concepts/semantic-conventions/ (дата звернення: 06.11.2025).</w:t>
      </w:r>
    </w:p>
    <w:p w14:paraId="3E2C0974" w14:textId="77777777" w:rsidR="00A1165F" w:rsidRPr="00153281" w:rsidRDefault="00153281" w:rsidP="00153281">
      <w:pPr>
        <w:spacing w:after="0"/>
        <w:ind w:firstLine="851"/>
        <w:jc w:val="both"/>
        <w:rPr>
          <w:sz w:val="24"/>
          <w:szCs w:val="24"/>
          <w:lang w:val="uk-UA"/>
        </w:rPr>
      </w:pPr>
      <w:r w:rsidRPr="00153281">
        <w:rPr>
          <w:sz w:val="24"/>
          <w:szCs w:val="24"/>
          <w:lang w:val="uk-UA"/>
        </w:rPr>
        <w:t>14. OpenTelemetry. General semantic conve</w:t>
      </w:r>
      <w:r w:rsidRPr="00153281">
        <w:rPr>
          <w:sz w:val="24"/>
          <w:szCs w:val="24"/>
          <w:lang w:val="uk-UA"/>
        </w:rPr>
        <w:t>ntions [Електронний ресурс]. – Режим доступу: https://opentelemetry.io/docs/specs/semconv/general/ (дата звернення: 06.11.2025).</w:t>
      </w:r>
    </w:p>
    <w:p w14:paraId="3A738DCB" w14:textId="77777777" w:rsidR="00A1165F" w:rsidRPr="00153281" w:rsidRDefault="00153281" w:rsidP="00153281">
      <w:pPr>
        <w:spacing w:after="0"/>
        <w:ind w:firstLine="851"/>
        <w:jc w:val="both"/>
        <w:rPr>
          <w:sz w:val="24"/>
          <w:szCs w:val="24"/>
          <w:lang w:val="uk-UA"/>
        </w:rPr>
      </w:pPr>
      <w:r w:rsidRPr="00153281">
        <w:rPr>
          <w:sz w:val="24"/>
          <w:szCs w:val="24"/>
          <w:lang w:val="uk-UA"/>
        </w:rPr>
        <w:t>15. OpenTelemetry. General logs attributes [Електронний ресурс]. – Режим доступу: https://opentelemetry.io/docs/specs/semconv/g</w:t>
      </w:r>
      <w:r w:rsidRPr="00153281">
        <w:rPr>
          <w:sz w:val="24"/>
          <w:szCs w:val="24"/>
          <w:lang w:val="uk-UA"/>
        </w:rPr>
        <w:t>eneral/logs/ (дата звернення: 06.11.2025).</w:t>
      </w:r>
    </w:p>
    <w:p w14:paraId="7E1378BD" w14:textId="77777777" w:rsidR="00A1165F" w:rsidRPr="00153281" w:rsidRDefault="00153281" w:rsidP="00153281">
      <w:pPr>
        <w:spacing w:after="0"/>
        <w:ind w:firstLine="851"/>
        <w:jc w:val="both"/>
        <w:rPr>
          <w:sz w:val="24"/>
          <w:szCs w:val="24"/>
          <w:lang w:val="uk-UA"/>
        </w:rPr>
      </w:pPr>
      <w:r w:rsidRPr="00153281">
        <w:rPr>
          <w:sz w:val="24"/>
          <w:szCs w:val="24"/>
          <w:lang w:val="uk-UA"/>
        </w:rPr>
        <w:t>16. OpenTelemetry. Logs Data Model [Електронний ресурс]. – Режим доступу: https://opentelemetry.io/docs/specs/otel/logs/data-model/ (дата звернення: 06.11.2025).</w:t>
      </w:r>
    </w:p>
    <w:p w14:paraId="4C0BDC40" w14:textId="77777777" w:rsidR="00A1165F" w:rsidRPr="00153281" w:rsidRDefault="00153281" w:rsidP="00153281">
      <w:pPr>
        <w:spacing w:after="0"/>
        <w:ind w:firstLine="851"/>
        <w:jc w:val="both"/>
        <w:rPr>
          <w:sz w:val="24"/>
          <w:szCs w:val="24"/>
          <w:lang w:val="uk-UA"/>
        </w:rPr>
      </w:pPr>
      <w:r w:rsidRPr="00153281">
        <w:rPr>
          <w:sz w:val="24"/>
          <w:szCs w:val="24"/>
          <w:lang w:val="uk-UA"/>
        </w:rPr>
        <w:t xml:space="preserve">17. OpenTelemetry. Semantic conventions for events </w:t>
      </w:r>
      <w:r w:rsidRPr="00153281">
        <w:rPr>
          <w:sz w:val="24"/>
          <w:szCs w:val="24"/>
          <w:lang w:val="uk-UA"/>
        </w:rPr>
        <w:t>[Електронний ресурс]. – Режим доступу: https://opentelemetry.io/docs/specs/semconv/general/events/ (дата звернення: 06.11.2025).</w:t>
      </w:r>
    </w:p>
    <w:p w14:paraId="7E0D6B2C" w14:textId="77777777" w:rsidR="00A1165F" w:rsidRPr="00153281" w:rsidRDefault="00153281" w:rsidP="00153281">
      <w:pPr>
        <w:spacing w:after="0"/>
        <w:ind w:firstLine="851"/>
        <w:jc w:val="both"/>
        <w:rPr>
          <w:sz w:val="24"/>
          <w:szCs w:val="24"/>
          <w:lang w:val="uk-UA"/>
        </w:rPr>
      </w:pPr>
      <w:r w:rsidRPr="00153281">
        <w:rPr>
          <w:sz w:val="24"/>
          <w:szCs w:val="24"/>
          <w:lang w:val="uk-UA"/>
        </w:rPr>
        <w:t>18. W3C. Baggage [Електронний ресурс]. – Режим доступу: https://www.w3.org/TR/baggage/ (дата звернення: 06.11.2025).</w:t>
      </w:r>
    </w:p>
    <w:sectPr w:rsidR="00A1165F" w:rsidRPr="00153281">
      <w:pgSz w:w="12240" w:h="15840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5959D0B-A853-4027-AA2B-ECE662AAF0A0}"/>
    <w:embedBold r:id="rId2" w:fontKey="{2DC9C3DA-F7D2-45EF-9FB1-C6585D769BBF}"/>
    <w:embedItalic r:id="rId3" w:fontKey="{3ADC851C-0B87-4333-AFF7-0FB0EC2C9BB9}"/>
    <w:embedBoldItalic r:id="rId4" w:fontKey="{7F046929-C153-4CA7-AA45-6EEE5AE4B68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CF8F3EB-6B37-4FD9-80DF-4D94D207FC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65F"/>
    <w:rsid w:val="00153281"/>
    <w:rsid w:val="00A11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C8CA0"/>
  <w15:docId w15:val="{70537459-E5BD-448D-BDE0-AC22095E3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4">
    <w:name w:val="Subtitle"/>
    <w:basedOn w:val="a"/>
    <w:next w:val="a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1769</Words>
  <Characters>10086</Characters>
  <Application>Microsoft Office Word</Application>
  <DocSecurity>0</DocSecurity>
  <Lines>84</Lines>
  <Paragraphs>23</Paragraphs>
  <ScaleCrop>false</ScaleCrop>
  <Company/>
  <LinksUpToDate>false</LinksUpToDate>
  <CharactersWithSpaces>11832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Lotiuk Yurii</cp:lastModifiedBy>
  <cp:revision>2</cp:revision>
  <dcterms:created xsi:type="dcterms:W3CDTF">2025-11-10T09:19:00Z</dcterms:created>
  <dcterms:modified xsi:type="dcterms:W3CDTF">2025-11-10T09:27:00Z</dcterms:modified>
</cp:coreProperties>
</file>