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0D" w:rsidRPr="003A2632" w:rsidRDefault="005F540D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</w:pPr>
      <w:r w:rsidRPr="003A2632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  <w:t>Яровий</w:t>
      </w:r>
      <w:r w:rsidR="003A2632" w:rsidRPr="003A2632">
        <w:rPr>
          <w:rFonts w:ascii="Times New Roman" w:eastAsia="Times New Roman" w:hAnsi="Times New Roman"/>
          <w:bCs/>
          <w:i/>
          <w:kern w:val="36"/>
          <w:sz w:val="28"/>
          <w:szCs w:val="28"/>
        </w:rPr>
        <w:t xml:space="preserve"> </w:t>
      </w:r>
      <w:r w:rsidR="003A2632">
        <w:rPr>
          <w:rFonts w:ascii="Times New Roman" w:eastAsia="Times New Roman" w:hAnsi="Times New Roman"/>
          <w:bCs/>
          <w:i/>
          <w:kern w:val="36"/>
          <w:sz w:val="28"/>
          <w:szCs w:val="28"/>
        </w:rPr>
        <w:t>Ю</w:t>
      </w:r>
      <w:r w:rsidR="003A2632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  <w:t xml:space="preserve">рій Миколайович, </w:t>
      </w:r>
      <w:r w:rsidR="003A2632" w:rsidRPr="005144FA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  <w:t>канд. тенх. наук</w:t>
      </w:r>
    </w:p>
    <w:p w:rsidR="003A2632" w:rsidRPr="003A2632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 xml:space="preserve">Харківський національний університет </w:t>
      </w:r>
    </w:p>
    <w:p w:rsidR="005F540D" w:rsidRDefault="003A2632" w:rsidP="003A2632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>міського господарства імені О.М. Бекетова</w:t>
      </w:r>
      <w:r w:rsidRPr="004C553F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 xml:space="preserve"> (Харків)</w:t>
      </w:r>
    </w:p>
    <w:p w:rsidR="005F540D" w:rsidRPr="00395A8E" w:rsidRDefault="001E3C84" w:rsidP="003A263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395A8E" w:rsidRPr="00395A8E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https://orcid.org/0009-0003-9151-9798</w:t>
        </w:r>
      </w:hyperlink>
    </w:p>
    <w:p w:rsidR="003A2632" w:rsidRPr="005144FA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</w:pPr>
      <w:r w:rsidRPr="005144FA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  <w:t>Виноградов Віталій Володимирович, канд. тенх. наук</w:t>
      </w:r>
    </w:p>
    <w:p w:rsidR="003A2632" w:rsidRPr="003A2632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 xml:space="preserve">Харківський національний університет </w:t>
      </w:r>
    </w:p>
    <w:p w:rsidR="003A2632" w:rsidRPr="004C553F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>міського господарства імені О.М. Бекетова</w:t>
      </w:r>
      <w:r w:rsidRPr="004C553F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 xml:space="preserve"> (Харків)</w:t>
      </w:r>
    </w:p>
    <w:p w:rsidR="003A2632" w:rsidRPr="004C553F" w:rsidRDefault="001E3C84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uk-UA"/>
        </w:rPr>
      </w:pPr>
      <w:hyperlink r:id="rId8" w:history="1">
        <w:r w:rsidR="003A2632" w:rsidRPr="004C553F">
          <w:rPr>
            <w:rStyle w:val="a8"/>
            <w:rFonts w:ascii="Times New Roman" w:eastAsia="Times New Roman" w:hAnsi="Times New Roman"/>
            <w:bCs/>
            <w:kern w:val="36"/>
            <w:sz w:val="24"/>
            <w:szCs w:val="24"/>
            <w:lang w:val="uk-UA"/>
          </w:rPr>
          <w:t>https://orcid.org/0000-0003-4492-3862</w:t>
        </w:r>
      </w:hyperlink>
    </w:p>
    <w:p w:rsidR="003A2632" w:rsidRPr="004C553F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</w:pPr>
      <w:r w:rsidRPr="004C553F">
        <w:rPr>
          <w:rFonts w:ascii="Times New Roman" w:eastAsia="Times New Roman" w:hAnsi="Times New Roman"/>
          <w:bCs/>
          <w:i/>
          <w:kern w:val="36"/>
          <w:sz w:val="28"/>
          <w:szCs w:val="28"/>
          <w:lang w:val="uk-UA"/>
        </w:rPr>
        <w:t>Альошечкіна Тетяна Миколаївна</w:t>
      </w:r>
    </w:p>
    <w:p w:rsidR="003A2632" w:rsidRPr="003A2632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kern w:val="36"/>
          <w:sz w:val="24"/>
          <w:szCs w:val="24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 xml:space="preserve">Харківський національний університет </w:t>
      </w:r>
    </w:p>
    <w:p w:rsidR="003A2632" w:rsidRPr="004C553F" w:rsidRDefault="003A2632" w:rsidP="003A2632">
      <w:pPr>
        <w:spacing w:after="0" w:line="312" w:lineRule="auto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</w:pPr>
      <w:r w:rsidRPr="004C553F">
        <w:rPr>
          <w:rFonts w:ascii="Times New Roman" w:eastAsia="Times New Roman" w:hAnsi="Times New Roman"/>
          <w:kern w:val="36"/>
          <w:sz w:val="24"/>
          <w:szCs w:val="24"/>
          <w:lang w:val="uk-UA"/>
        </w:rPr>
        <w:t>міського господарства імені О.М. Бекетова</w:t>
      </w:r>
      <w:r w:rsidRPr="004C553F">
        <w:rPr>
          <w:rFonts w:ascii="Times New Roman" w:eastAsia="Times New Roman" w:hAnsi="Times New Roman"/>
          <w:bCs/>
          <w:kern w:val="36"/>
          <w:sz w:val="24"/>
          <w:szCs w:val="24"/>
          <w:lang w:val="uk-UA"/>
        </w:rPr>
        <w:t xml:space="preserve"> (Харків)</w:t>
      </w:r>
    </w:p>
    <w:p w:rsidR="005F540D" w:rsidRPr="00FE4E8D" w:rsidRDefault="001E3C84" w:rsidP="003A2632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3A2632" w:rsidRPr="004C553F">
          <w:rPr>
            <w:rStyle w:val="a8"/>
            <w:rFonts w:ascii="Times New Roman" w:eastAsia="Times New Roman" w:hAnsi="Times New Roman"/>
            <w:bCs/>
            <w:kern w:val="36"/>
            <w:sz w:val="24"/>
            <w:szCs w:val="24"/>
            <w:lang w:val="uk-UA"/>
          </w:rPr>
          <w:t>https://orcid.org/0000-0001-7234-1558</w:t>
        </w:r>
      </w:hyperlink>
    </w:p>
    <w:p w:rsidR="005F10FB" w:rsidRDefault="005F10FB" w:rsidP="003A2632">
      <w:pPr>
        <w:spacing w:after="0" w:line="312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A2632" w:rsidRDefault="003A2632" w:rsidP="003A263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2632">
        <w:rPr>
          <w:rFonts w:ascii="Times New Roman" w:hAnsi="Times New Roman" w:cs="Times New Roman"/>
          <w:b/>
          <w:sz w:val="28"/>
          <w:szCs w:val="28"/>
          <w:lang w:val="uk-UA"/>
        </w:rPr>
        <w:t>АНАЛІЗ ПОШКОДЖЕННЯ КОНСТРУКЦІЙ БУДІВЕЛЬ ТА СПОРУД, ЩО ВИНИКЛИ ВНАСЛІДОК ДІЇ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632">
        <w:rPr>
          <w:rFonts w:ascii="Times New Roman" w:hAnsi="Times New Roman" w:cs="Times New Roman"/>
          <w:b/>
          <w:sz w:val="28"/>
          <w:szCs w:val="28"/>
          <w:lang w:val="uk-UA"/>
        </w:rPr>
        <w:t>УДАРНОЇ ХВИЛІ ВИБУХУ</w:t>
      </w:r>
    </w:p>
    <w:p w:rsidR="003A2632" w:rsidRPr="003A2632" w:rsidRDefault="003A2632" w:rsidP="003A263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5230" w:rsidRPr="00787ADF" w:rsidRDefault="00B95230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Аналіз технічного стану будівель та споруд з урахуванням характерних типів пошкоджень зроблено на основі обстеження більш, ніж 150 будівель та споруд.</w:t>
      </w:r>
    </w:p>
    <w:p w:rsidR="00B95230" w:rsidRPr="00787ADF" w:rsidRDefault="00B95230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Навантаження та впливи, які сприймають конструкції в ході воєнн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>их дій, мають свої особливості внаслідок того, що конструкції промислових та цивіл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>них будівель та споруд не розраховувались на впливи та навантаження, щов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 xml:space="preserve">никають внаслідок воєнних дій: </w:t>
      </w:r>
    </w:p>
    <w:p w:rsidR="000906DB" w:rsidRPr="00787ADF" w:rsidRDefault="000906D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- дія ударної хвилі вибуху;</w:t>
      </w:r>
    </w:p>
    <w:p w:rsidR="000906DB" w:rsidRPr="00787ADF" w:rsidRDefault="000906D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- механічні пошкодження внаслідок влучання ракет, снарядів, осколків, уламків конструкцій;</w:t>
      </w:r>
    </w:p>
    <w:p w:rsidR="000906DB" w:rsidRPr="00787ADF" w:rsidRDefault="000906D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- динамічні навантаження внаслідок дії вибухової хвилі або коливань конструкцій;</w:t>
      </w:r>
    </w:p>
    <w:p w:rsidR="000906DB" w:rsidRPr="00787ADF" w:rsidRDefault="000906D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- температурні впливи внаслідок пожеж.</w:t>
      </w:r>
    </w:p>
    <w:p w:rsidR="00214CCC" w:rsidRDefault="004217AF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7AF">
        <w:rPr>
          <w:rFonts w:ascii="Times New Roman" w:hAnsi="Times New Roman" w:cs="Times New Roman"/>
          <w:sz w:val="28"/>
          <w:szCs w:val="28"/>
          <w:lang w:val="uk-UA"/>
        </w:rPr>
        <w:t>Особливостями дії вибуху на будівельні конструкції є поєднання пості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них та тимчасових навантажень з потужними короткочасними динамічними н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вантаженнями вибухових впливів з вільною орієнтацією. Об’єкти, які з вел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кою імовірністю можуть опинитися під впливом вибухів, слід розраховувати на особливі поєднання навантажень. Але в будь-якому випадку треба підтвердж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вати розрахунками умову перевищення навантажень від вибуху над природн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17AF">
        <w:rPr>
          <w:rFonts w:ascii="Times New Roman" w:hAnsi="Times New Roman" w:cs="Times New Roman"/>
          <w:sz w:val="28"/>
          <w:szCs w:val="28"/>
          <w:lang w:val="uk-UA"/>
        </w:rPr>
        <w:t>ми навантаженнями.</w:t>
      </w:r>
      <w:r w:rsid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6DB" w:rsidRPr="00787ADF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будівель та споруд найчастіше зазнають впливів вибухової хвилі. </w:t>
      </w:r>
    </w:p>
    <w:p w:rsidR="006456A4" w:rsidRDefault="000906D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Вибухова хвиля – збурення особливого роду, що виникає в навколи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ньому середовищі під час вибуху (заряду ВР, пилу або газу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), якому притаманне різке, стрибк</w:t>
      </w:r>
      <w:r w:rsidR="00E526E3">
        <w:rPr>
          <w:rFonts w:ascii="Times New Roman" w:hAnsi="Times New Roman" w:cs="Times New Roman"/>
          <w:sz w:val="28"/>
          <w:szCs w:val="28"/>
          <w:lang w:val="uk-UA"/>
        </w:rPr>
        <w:t>оподібне підвищення тиску, яке</w:t>
      </w:r>
      <w:r w:rsidR="00214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супроводжується стиском, нагр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ванням та зміною швидкості руху речовини. Вибухова хвиля в повітрі - це п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45621" w:rsidRPr="00787ADF">
        <w:rPr>
          <w:rFonts w:ascii="Times New Roman" w:hAnsi="Times New Roman" w:cs="Times New Roman"/>
          <w:sz w:val="28"/>
          <w:szCs w:val="28"/>
          <w:lang w:val="uk-UA"/>
        </w:rPr>
        <w:t>верхня вибуху, що поширюється зі швидкістю 300 м/с та більше.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 xml:space="preserve"> Джерелом в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никнення ударної хвилі є високий тиск у центрі вибуху, що досягає 105 млрд Па. Вона складається із зони стиснення (де тиск вище атмосферного) і зони р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зрідження (тиск нижче атмосферного). Уражаюча дія ударної хвилі визначаєт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14CCC" w:rsidRPr="00214CCC">
        <w:rPr>
          <w:rFonts w:ascii="Times New Roman" w:hAnsi="Times New Roman" w:cs="Times New Roman"/>
          <w:sz w:val="28"/>
          <w:szCs w:val="28"/>
          <w:lang w:val="uk-UA"/>
        </w:rPr>
        <w:t>ся двома параметрами: надмірним тиском і швидкісним напором повітря.</w:t>
      </w:r>
    </w:p>
    <w:p w:rsidR="00D45621" w:rsidRPr="00787ADF" w:rsidRDefault="00D45621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Фото вибухової хвилі в повітрі див. рис. 1.</w:t>
      </w:r>
    </w:p>
    <w:p w:rsidR="00D45621" w:rsidRDefault="00D45621" w:rsidP="003A2632">
      <w:pPr>
        <w:spacing w:after="0"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3643792" cy="2419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бухова хвил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264" cy="24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5621" w:rsidRPr="003A2632" w:rsidRDefault="00D45621" w:rsidP="003A263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hAnsi="Times New Roman" w:cs="Times New Roman"/>
          <w:b/>
          <w:i/>
          <w:sz w:val="24"/>
          <w:szCs w:val="24"/>
          <w:lang w:val="uk-UA"/>
        </w:rPr>
        <w:t>Рис. 1.</w:t>
      </w:r>
      <w:r w:rsidRPr="003A26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Виникнення та поширення вибухової хвилі в повітрі.</w:t>
      </w:r>
    </w:p>
    <w:p w:rsidR="00022351" w:rsidRPr="00787ADF" w:rsidRDefault="00D45621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 xml:space="preserve">Вибухова хвиля створює навантаження по фронту поширення. </w:t>
      </w:r>
      <w:r w:rsidR="00022351" w:rsidRPr="00787ADF">
        <w:rPr>
          <w:rFonts w:ascii="Times New Roman" w:hAnsi="Times New Roman" w:cs="Times New Roman"/>
          <w:sz w:val="28"/>
          <w:szCs w:val="28"/>
          <w:lang w:val="uk-UA"/>
        </w:rPr>
        <w:t>Зазвичай, навантаження (тиск на поверхні хвилі) діє нормально до вертикальних пове</w:t>
      </w:r>
      <w:r w:rsidR="00022351" w:rsidRPr="00787AD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22351" w:rsidRPr="00787ADF">
        <w:rPr>
          <w:rFonts w:ascii="Times New Roman" w:hAnsi="Times New Roman" w:cs="Times New Roman"/>
          <w:sz w:val="28"/>
          <w:szCs w:val="28"/>
          <w:lang w:val="uk-UA"/>
        </w:rPr>
        <w:t>хонь будівлі (стіни, вікна, двері) та поширюється з великою швидкістю.</w:t>
      </w:r>
    </w:p>
    <w:p w:rsidR="00D45621" w:rsidRDefault="00022351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Найбільших ушкоджень від вибухової хвилі зазнають конструкції зовн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шніх стін (стінові панелі, цегляна кладка, огороджуючи конструкції, світлопр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C0BE4" w:rsidRPr="00787ADF">
        <w:rPr>
          <w:rFonts w:ascii="Times New Roman" w:hAnsi="Times New Roman" w:cs="Times New Roman"/>
          <w:sz w:val="28"/>
          <w:szCs w:val="28"/>
          <w:lang w:val="uk-UA"/>
        </w:rPr>
        <w:t>орі конструкції (вікна, ліхтарі</w:t>
      </w:r>
      <w:r w:rsidRPr="00787ADF">
        <w:rPr>
          <w:rFonts w:ascii="Times New Roman" w:hAnsi="Times New Roman" w:cs="Times New Roman"/>
          <w:sz w:val="28"/>
          <w:szCs w:val="28"/>
          <w:lang w:val="uk-UA"/>
        </w:rPr>
        <w:t xml:space="preserve">, ворота, двері). 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>риблизний графік тиску у сер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>дині будівлі з віконними відкриттями по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>зан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 xml:space="preserve"> у роботі [</w:t>
      </w:r>
      <w:r w:rsidR="00D3649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D91" w:rsidRPr="00DF2D9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833DBB" w:rsidRPr="00833DBB" w:rsidRDefault="00833DBB" w:rsidP="00833D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DBB"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 ударних хвиль вибуху на різноманітні конструкції будівель та сп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руд може бути значн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D437E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. Деякі основні аспекти цього впливу включають:</w:t>
      </w:r>
      <w:r w:rsidR="00C26407" w:rsidRP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>ханічні пошкодження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>еформація матеріалів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>орушення цілісності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D437E7">
        <w:rPr>
          <w:rFonts w:ascii="Times New Roman" w:hAnsi="Times New Roman" w:cs="Times New Roman"/>
          <w:sz w:val="28"/>
          <w:szCs w:val="28"/>
          <w:lang w:val="uk-UA"/>
        </w:rPr>
        <w:t xml:space="preserve">апрямок хвилі. 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Розуміння цих аспектів важливе для розробки ефективних стратегій п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33DBB">
        <w:rPr>
          <w:rFonts w:ascii="Times New Roman" w:hAnsi="Times New Roman" w:cs="Times New Roman"/>
          <w:sz w:val="28"/>
          <w:szCs w:val="28"/>
          <w:lang w:val="uk-UA"/>
        </w:rPr>
        <w:t>передження пошкоджень та підвищення стійкості будівель та споруд до впливу ударних хвиль вибуху</w:t>
      </w:r>
      <w:r w:rsidR="00FE4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DBB" w:rsidRDefault="009820B5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ADF">
        <w:rPr>
          <w:rFonts w:ascii="Times New Roman" w:hAnsi="Times New Roman" w:cs="Times New Roman"/>
          <w:sz w:val="28"/>
          <w:szCs w:val="28"/>
          <w:lang w:val="uk-UA"/>
        </w:rPr>
        <w:t>Ефект дії повітряних вибухових хвиль на споруди визначається за видом вибуху: наземний вибух, вибух у повітрі, вибух над поверхнею землі. Повітряна ударна хвиля складається з фаз стискання, в якій тиск більший за атмосферний, і фази розрядження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 xml:space="preserve"> (р</w:t>
      </w:r>
      <w:r w:rsidR="00B83856" w:rsidRPr="00787ADF">
        <w:rPr>
          <w:rFonts w:ascii="Times New Roman" w:hAnsi="Times New Roman" w:cs="Times New Roman"/>
          <w:sz w:val="28"/>
          <w:szCs w:val="28"/>
          <w:lang w:val="uk-UA"/>
        </w:rPr>
        <w:t>ис. 2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3856" w:rsidRPr="00787A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22351" w:rsidRPr="00787ADF" w:rsidRDefault="00833DBB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0FB">
        <w:rPr>
          <w:rFonts w:ascii="Times New Roman" w:hAnsi="Times New Roman" w:cs="Times New Roman"/>
          <w:sz w:val="28"/>
          <w:szCs w:val="28"/>
          <w:lang w:val="uk-UA"/>
        </w:rPr>
        <w:t>Найбільший тиск у фазі стискання вибухової хвилі значно перевищує а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мосферний тиск та тиск у фазі розрядження. Основні параметри вибухової хв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лі, що поширюється у повітрі від центру вибуху, визначаються за емпіричними формулами.</w:t>
      </w:r>
    </w:p>
    <w:p w:rsidR="00B83856" w:rsidRDefault="00D35FAC" w:rsidP="003A2632">
      <w:pPr>
        <w:spacing w:after="0" w:line="360" w:lineRule="auto"/>
        <w:ind w:firstLine="709"/>
        <w:jc w:val="center"/>
        <w:rPr>
          <w:rFonts w:ascii="Courier New" w:hAnsi="Courier New" w:cs="Courier New"/>
          <w:sz w:val="24"/>
          <w:szCs w:val="24"/>
          <w:lang w:val="uk-UA"/>
        </w:rPr>
      </w:pPr>
      <w:r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5509263" cy="2533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 1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755" cy="25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856" w:rsidRDefault="00B83856" w:rsidP="003A263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hAnsi="Times New Roman" w:cs="Times New Roman"/>
          <w:b/>
          <w:i/>
          <w:sz w:val="24"/>
          <w:szCs w:val="24"/>
          <w:lang w:val="uk-UA"/>
        </w:rPr>
        <w:t>Рис. 2.</w:t>
      </w:r>
      <w:r w:rsidRPr="003A263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Графік зміни тиску по фронту вибухової хвилі.</w:t>
      </w:r>
    </w:p>
    <w:p w:rsidR="00D437E7" w:rsidRPr="003A2632" w:rsidRDefault="00D437E7" w:rsidP="003A263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83856" w:rsidRPr="005F10FB" w:rsidRDefault="00B83856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0FB">
        <w:rPr>
          <w:rFonts w:ascii="Times New Roman" w:hAnsi="Times New Roman" w:cs="Times New Roman"/>
          <w:sz w:val="28"/>
          <w:szCs w:val="28"/>
          <w:lang w:val="uk-UA"/>
        </w:rPr>
        <w:t>У разі повітряного вибуху тротилового заряду</w:t>
      </w:r>
      <w:r w:rsidR="00D36492" w:rsidRPr="00DF2D9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3649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C42D5">
        <w:rPr>
          <w:rFonts w:ascii="Times New Roman" w:hAnsi="Times New Roman" w:cs="Times New Roman"/>
          <w:sz w:val="28"/>
          <w:szCs w:val="28"/>
          <w:lang w:val="uk-UA"/>
        </w:rPr>
        <w:t>, с.5</w:t>
      </w:r>
      <w:r w:rsidR="00D36492" w:rsidRPr="00DF2D9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3856" w:rsidRPr="005F10FB" w:rsidRDefault="00B83856" w:rsidP="003A2632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hAnsi="Cambria Math" w:cs="Courier New"/>
            <w:sz w:val="24"/>
            <w:szCs w:val="24"/>
            <w:lang w:val="uk-UA"/>
          </w:rPr>
          <m:t>∆</m:t>
        </m:r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hAnsi="Cambria Math" w:cs="Courier New"/>
            <w:sz w:val="24"/>
            <w:szCs w:val="24"/>
            <w:lang w:val="uk-UA"/>
          </w:rPr>
          <m:t>=0,084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Courier New"/>
                    <w:sz w:val="24"/>
                    <w:szCs w:val="24"/>
                    <w:lang w:val="uk-UA"/>
                  </w:rPr>
                  <m:t>3</m:t>
                </m:r>
              </m:deg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c</m:t>
                </m:r>
              </m:e>
            </m:rad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R</m:t>
            </m:r>
          </m:den>
        </m:f>
        <m:r>
          <w:rPr>
            <w:rFonts w:ascii="Cambria Math" w:hAnsi="Cambria Math" w:cs="Courier New"/>
            <w:sz w:val="24"/>
            <w:szCs w:val="24"/>
            <w:lang w:val="uk-UA"/>
          </w:rPr>
          <m:t>+0,27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Courier New"/>
                    <w:sz w:val="24"/>
                    <w:szCs w:val="24"/>
                    <w:lang w:val="uk-U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uk-UA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Courier New"/>
            <w:sz w:val="24"/>
            <w:szCs w:val="24"/>
            <w:lang w:val="uk-UA"/>
          </w:rPr>
          <m:t>+0,7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uk-UA"/>
                  </w:rPr>
                  <m:t>3</m:t>
                </m:r>
              </m:sup>
            </m:sSup>
          </m:den>
        </m:f>
        <m:r>
          <w:rPr>
            <w:rFonts w:ascii="Cambria Math" w:hAnsi="Cambria Math" w:cs="Courier New"/>
            <w:sz w:val="24"/>
            <w:szCs w:val="24"/>
            <w:lang w:val="uk-UA"/>
          </w:rPr>
          <m:t>, (МПа)</m:t>
        </m:r>
        <m:r>
          <w:rPr>
            <w:rFonts w:ascii="Cambria Math" w:eastAsiaTheme="minorEastAsia" w:hAnsi="Cambria Math" w:cs="Courier New"/>
            <w:sz w:val="24"/>
            <w:szCs w:val="24"/>
            <w:lang w:val="uk-UA"/>
          </w:rPr>
          <m:t>;</m:t>
        </m:r>
      </m:oMath>
      <w:r w:rsidR="0008415A" w:rsidRPr="005F10F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ab/>
      </w:r>
      <w:r w:rsidR="003A2632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ab/>
      </w:r>
      <w:r w:rsidR="005F10FB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ab/>
      </w:r>
      <w:r w:rsidR="00C65645"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(1)</w:t>
      </w:r>
    </w:p>
    <w:p w:rsidR="00C65645" w:rsidRPr="005F10FB" w:rsidRDefault="001E3C84" w:rsidP="003A2632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τ</m:t>
            </m:r>
          </m:e>
          <m:sub>
            <m:r>
              <w:rPr>
                <w:rFonts w:ascii="Cambria Math" w:hAnsi="Cambria Math" w:cs="Courier New"/>
                <w:sz w:val="24"/>
                <w:szCs w:val="24"/>
              </w:rPr>
              <m:t>(+)</m:t>
            </m:r>
          </m:sub>
        </m:sSub>
        <m:r>
          <w:rPr>
            <w:rFonts w:ascii="Cambria Math" w:hAnsi="Cambria Math" w:cs="Courier New"/>
            <w:sz w:val="24"/>
            <w:szCs w:val="24"/>
          </w:rPr>
          <m:t>=1,5×</m:t>
        </m:r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</w:rPr>
              <m:t>-3</m:t>
            </m:r>
          </m:sup>
        </m:sSup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6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c</m:t>
            </m:r>
          </m:e>
        </m:rad>
        <m:r>
          <w:rPr>
            <w:rFonts w:ascii="Cambria Math" w:hAnsi="Cambria Math" w:cs="Courier New"/>
            <w:sz w:val="24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R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, (с);</m:t>
        </m:r>
      </m:oMath>
      <w:r w:rsidR="0008415A">
        <w:rPr>
          <w:rFonts w:ascii="Courier New" w:eastAsiaTheme="minorEastAsia" w:hAnsi="Courier New" w:cs="Courier New"/>
          <w:i/>
          <w:sz w:val="24"/>
          <w:szCs w:val="24"/>
        </w:rPr>
        <w:tab/>
      </w:r>
      <w:r w:rsidR="0008415A" w:rsidRPr="005F10F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08415A" w:rsidRPr="005F10F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08415A" w:rsidRPr="005F10F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5F10FB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C65645"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(2)</w:t>
      </w:r>
    </w:p>
    <w:p w:rsidR="00B83856" w:rsidRPr="005F10FB" w:rsidRDefault="00C65645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0FB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5F10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10FB">
        <w:rPr>
          <w:rFonts w:ascii="Times New Roman" w:hAnsi="Times New Roman" w:cs="Times New Roman"/>
          <w:sz w:val="28"/>
          <w:szCs w:val="28"/>
        </w:rPr>
        <w:t xml:space="preserve">— 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 xml:space="preserve">маса тротилового заряду (кгс), </w:t>
      </w:r>
      <w:r w:rsidRPr="005F10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F10FB">
        <w:rPr>
          <w:rFonts w:ascii="Times New Roman" w:hAnsi="Times New Roman" w:cs="Times New Roman"/>
          <w:sz w:val="28"/>
          <w:szCs w:val="28"/>
        </w:rPr>
        <w:t xml:space="preserve"> — 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відстань від центру вибуху (м).</w:t>
      </w:r>
    </w:p>
    <w:p w:rsidR="00C65645" w:rsidRPr="005F10FB" w:rsidRDefault="00C65645" w:rsidP="003A2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10FB">
        <w:rPr>
          <w:rFonts w:ascii="Times New Roman" w:hAnsi="Times New Roman" w:cs="Times New Roman"/>
          <w:sz w:val="28"/>
          <w:szCs w:val="28"/>
          <w:lang w:val="uk-UA"/>
        </w:rPr>
        <w:t>Зміну тиску у фазі стискання за часом визначається</w:t>
      </w:r>
      <w:r w:rsidR="00DF2D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364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4E8D">
        <w:rPr>
          <w:rFonts w:ascii="Times New Roman" w:hAnsi="Times New Roman" w:cs="Times New Roman"/>
          <w:sz w:val="28"/>
          <w:szCs w:val="28"/>
          <w:lang w:val="uk-UA"/>
        </w:rPr>
        <w:t>, с. 218</w:t>
      </w:r>
      <w:r w:rsidR="00D36492" w:rsidRPr="00DF2D9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5F10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6778" w:rsidRPr="005F10FB" w:rsidRDefault="00956778" w:rsidP="003A2632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w:lastRenderedPageBreak/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(+)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  0≤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τ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08415A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08415A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5F10FB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5238FF" w:rsidRPr="005F10FB"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956778" w:rsidRPr="005F10FB" w:rsidRDefault="00956778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>=∆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</m:e>
                  </m:d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-1,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=6,3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5238FF" w:rsidRPr="005F10FB" w:rsidRDefault="005238FF" w:rsidP="003A2632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Цьому відповідає крива 1, зображена на рис. 3. Під час розрахунку спор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ди на дію повітряної вибухової хвилі замість функції (3) можна використати л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нійну залежність (пряма 2</w:t>
      </w:r>
      <w:r w:rsidR="00E403D0"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, рис. 3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5238FF" w:rsidRPr="005F10FB" w:rsidRDefault="005238FF" w:rsidP="003A2632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08415A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08415A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08415A" w:rsidRPr="005F10FB">
        <w:rPr>
          <w:rFonts w:ascii="Times New Roman" w:eastAsiaTheme="minorEastAsia" w:hAnsi="Times New Roman" w:cs="Times New Roman"/>
          <w:sz w:val="28"/>
          <w:szCs w:val="28"/>
        </w:rPr>
        <w:tab/>
      </w:r>
      <w:r w:rsidR="006456A4">
        <w:rPr>
          <w:rFonts w:ascii="Times New Roman" w:eastAsiaTheme="minorEastAsia" w:hAnsi="Times New Roman" w:cs="Times New Roman"/>
          <w:sz w:val="28"/>
          <w:szCs w:val="28"/>
        </w:rPr>
        <w:tab/>
      </w:r>
      <w:r w:rsidR="006456A4">
        <w:rPr>
          <w:rFonts w:ascii="Times New Roman" w:eastAsiaTheme="minorEastAsia" w:hAnsi="Times New Roman" w:cs="Times New Roman"/>
          <w:sz w:val="28"/>
          <w:szCs w:val="28"/>
        </w:rPr>
        <w:tab/>
      </w:r>
      <w:r w:rsidR="00D35FAC" w:rsidRPr="005F10FB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5238FF" w:rsidRPr="005F10FB" w:rsidRDefault="005238FF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(+)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  <w:r w:rsidRPr="005F10FB">
        <w:rPr>
          <w:rFonts w:ascii="Times New Roman" w:eastAsiaTheme="minorEastAsia" w:hAnsi="Times New Roman" w:cs="Times New Roman"/>
          <w:sz w:val="28"/>
          <w:szCs w:val="28"/>
        </w:rPr>
        <w:t xml:space="preserve"> — </w:t>
      </w:r>
      <w:r w:rsidRPr="005F10FB">
        <w:rPr>
          <w:rFonts w:ascii="Times New Roman" w:eastAsiaTheme="minorEastAsia" w:hAnsi="Times New Roman" w:cs="Times New Roman"/>
          <w:sz w:val="28"/>
          <w:szCs w:val="28"/>
          <w:lang w:val="uk-UA"/>
        </w:rPr>
        <w:t>ефективний час ударної хвилі, який визначено за умовою рівності імпульсів тиску.</w:t>
      </w:r>
    </w:p>
    <w:p w:rsidR="003A2632" w:rsidRDefault="00E403D0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</w:pPr>
      <w:r w:rsidRPr="006456A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0489" cy="2543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 2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706" cy="254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D0" w:rsidRDefault="00E403D0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Рис. 3.</w:t>
      </w:r>
      <w:r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Залежність величини вибухового тиску</w:t>
      </w:r>
      <w:r w:rsidR="003A2632"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</w:t>
      </w:r>
      <w:r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від часу.</w:t>
      </w:r>
    </w:p>
    <w:p w:rsidR="00D437E7" w:rsidRPr="003A2632" w:rsidRDefault="00D437E7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</w:p>
    <w:p w:rsidR="00E403D0" w:rsidRPr="006456A4" w:rsidRDefault="00E403D0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Найбільший тиск відбиття ∆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456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v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що діє у початковий момент часу на фр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нтальну плоску </w:t>
      </w:r>
      <w:r w:rsidR="00AD69A5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перешкоду</w:t>
      </w:r>
      <w:r w:rsidR="00281E1A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</w:t>
      </w:r>
      <w:r w:rsidR="00030915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пендикулярно напрямку розповсюдження хвилі і досягає</w:t>
      </w:r>
    </w:p>
    <w:p w:rsidR="00030915" w:rsidRPr="006456A4" w:rsidRDefault="00030915" w:rsidP="003A2632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∆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+0,72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6456A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456A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08415A" w:rsidRPr="006456A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456A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6456A4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D35FAC" w:rsidRPr="006456A4" w:rsidRDefault="00030915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а далі під час обтікання зменшується відповідно до графіка, зображеного на рис. 4.</w:t>
      </w:r>
    </w:p>
    <w:p w:rsidR="00030915" w:rsidRPr="006456A4" w:rsidRDefault="001B5E5B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6171" cy="2143125"/>
            <wp:effectExtent l="19050" t="0" r="182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 3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271" cy="215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C69" w:rsidRDefault="003C6C69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Рис. 4.</w:t>
      </w:r>
      <w:r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Графік впливу вибухової хвилі на будівлю.</w:t>
      </w:r>
    </w:p>
    <w:p w:rsidR="00D437E7" w:rsidRPr="003A2632" w:rsidRDefault="00D437E7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30915" w:rsidRDefault="00030915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Повна картина обтікання наведена на рис. 5.</w:t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38620C" w:rsidRPr="006456A4" w:rsidRDefault="0038620C" w:rsidP="0038620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30915" w:rsidRPr="006456A4" w:rsidRDefault="00C6603C" w:rsidP="003A263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8710" cy="2601595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 4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3C" w:rsidRDefault="00C6603C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Рис. 5.</w:t>
      </w:r>
      <w:r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Загальна картина впливу вибухової хвилі на споруду.</w:t>
      </w:r>
    </w:p>
    <w:p w:rsidR="00D437E7" w:rsidRPr="003A2632" w:rsidRDefault="00D437E7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</w:p>
    <w:p w:rsidR="00D437E7" w:rsidRPr="006456A4" w:rsidRDefault="00D437E7" w:rsidP="00D437E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Час ∆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6456A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О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початку відбиття до початку режиму обтікання </w:t>
      </w:r>
    </w:p>
    <w:p w:rsidR="00D437E7" w:rsidRPr="006456A4" w:rsidRDefault="00D437E7" w:rsidP="00D437E7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O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3H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(6)</w:t>
      </w:r>
    </w:p>
    <w:p w:rsidR="00D437E7" w:rsidRDefault="00D437E7" w:rsidP="00D437E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— висота фронтальної стінки (або 0,5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);</w:t>
      </w:r>
    </w:p>
    <w:p w:rsidR="00030915" w:rsidRPr="006456A4" w:rsidRDefault="00D437E7" w:rsidP="00D437E7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340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1+8,3∆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f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, </m:t>
        </m:r>
      </m:oMath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 — швидкість руху фронту ударної хвилі.</w:t>
      </w:r>
    </w:p>
    <w:p w:rsidR="00281E1A" w:rsidRDefault="00281E1A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Під час розрахунку споруд на вибухове навантаження дійсні закони зміни тиску за часом замінюють на спрощені, рис. 6. </w:t>
      </w:r>
    </w:p>
    <w:p w:rsidR="003A2632" w:rsidRPr="006456A4" w:rsidRDefault="003A2632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81E1A" w:rsidRPr="006456A4" w:rsidRDefault="00281E1A" w:rsidP="003A263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2619" cy="2314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 5 cop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4803" cy="233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E1A" w:rsidRPr="003A2632" w:rsidRDefault="00281E1A" w:rsidP="003A263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</w:pPr>
      <w:r w:rsidRPr="003A2632"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>Рис 6.</w:t>
      </w:r>
      <w:r w:rsidRPr="003A2632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 xml:space="preserve"> Спрощені закони зміни тиску за часом.</w:t>
      </w:r>
    </w:p>
    <w:p w:rsidR="0023316C" w:rsidRPr="006456A4" w:rsidRDefault="00281E1A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Навантаження, зміни якого показано на рис. 6, використовують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ся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р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зрахунку 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конструкцій покриття та бокових стін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</w:t>
      </w:r>
      <w:r w:rsidR="0023316C" w:rsidRPr="00FE4E8D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6а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), фронтальних стін (</w:t>
      </w:r>
      <w:r w:rsidR="0023316C" w:rsidRPr="00FE4E8D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6б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), тильної сторони споруди (</w:t>
      </w:r>
      <w:r w:rsidR="0023316C" w:rsidRPr="00FE4E8D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6в</w:t>
      </w:r>
      <w:r w:rsidR="0023316C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1B5E5B" w:rsidRPr="006456A4" w:rsidRDefault="0023316C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Функції, які використовуються у розрахунках, залежать від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tω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1B5E5B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ω</m:t>
        </m:r>
      </m:oMath>
      <w:r w:rsidR="001B5E5B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— частота власних коливань конструкцій.</w:t>
      </w:r>
    </w:p>
    <w:p w:rsidR="0023316C" w:rsidRPr="006456A4" w:rsidRDefault="0023316C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t≥∆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або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ω≥50</m:t>
        </m:r>
      </m:oMath>
      <w:r w:rsidR="00FD6FA8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то під час розрахунку споруд в пружній стадії можна приймати навантаження постійні за часом.</w:t>
      </w:r>
    </w:p>
    <w:p w:rsidR="00FD6FA8" w:rsidRPr="006456A4" w:rsidRDefault="00FD6FA8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час дії навантаження відносно малий, такий, що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ω&lt;π/2</m:t>
        </m:r>
      </m:oMath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то конструкції можна розраховувати на дію миттєвого імпульсу</w:t>
      </w:r>
    </w:p>
    <w:p w:rsidR="00FD6FA8" w:rsidRPr="006456A4" w:rsidRDefault="00FD6FA8" w:rsidP="003A2632">
      <w:pPr>
        <w:tabs>
          <w:tab w:val="left" w:pos="4536"/>
        </w:tabs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I=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Δ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dt.</m:t>
            </m:r>
          </m:e>
        </m:nary>
      </m:oMath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(7)</w:t>
      </w:r>
    </w:p>
    <w:p w:rsidR="00FD6FA8" w:rsidRPr="006456A4" w:rsidRDefault="00FD6FA8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ω≥20</m:t>
        </m:r>
      </m:oMath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то дія навантаження на споруду буде еквівалентна ст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тичній дії навантаження 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6456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E4951" w:rsidRPr="006456A4" w:rsidRDefault="00597B96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Для інженерний розрахунків будівельних конструкцій на дію повітряної вибухової хвилі використовують більш прості залежності, що наведені в роб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тах </w:t>
      </w:r>
      <w:r w:rsidR="00293BCF" w:rsidRPr="006456A4">
        <w:rPr>
          <w:rFonts w:ascii="Times New Roman" w:eastAsiaTheme="minorEastAsia" w:hAnsi="Times New Roman" w:cs="Times New Roman"/>
          <w:sz w:val="28"/>
          <w:szCs w:val="28"/>
        </w:rPr>
        <w:t>[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1, 2</w:t>
      </w:r>
      <w:r w:rsidR="00293BCF" w:rsidRPr="006456A4">
        <w:rPr>
          <w:rFonts w:ascii="Times New Roman" w:eastAsiaTheme="minorEastAsia" w:hAnsi="Times New Roman" w:cs="Times New Roman"/>
          <w:sz w:val="28"/>
          <w:szCs w:val="28"/>
        </w:rPr>
        <w:t>]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за допомогою яких можна визначити:</w:t>
      </w:r>
    </w:p>
    <w:p w:rsidR="009E4951" w:rsidRPr="006456A4" w:rsidRDefault="009E4951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=89,79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+2204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R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+0,71;</m:t>
          </m:r>
        </m:oMath>
      </m:oMathPara>
    </w:p>
    <w:p w:rsidR="009E4951" w:rsidRPr="006456A4" w:rsidRDefault="009E4951" w:rsidP="0038620C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56A4">
        <w:rPr>
          <w:rFonts w:ascii="Times New Roman" w:eastAsiaTheme="minorEastAsia" w:hAnsi="Times New Roman" w:cs="Times New Roman"/>
          <w:sz w:val="28"/>
          <w:szCs w:val="28"/>
        </w:rPr>
        <w:t>(8)</w:t>
      </w:r>
    </w:p>
    <w:p w:rsidR="009E4951" w:rsidRPr="006456A4" w:rsidRDefault="009E4951" w:rsidP="0038620C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∆t=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6∆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4∆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38620C" w:rsidRDefault="009E4951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=306,7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∆P+1,18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sup>
        </m:sSup>
      </m:oMath>
      <w:r w:rsidR="001A39DD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— швидкість повітряної ударної хвилі;</w:t>
      </w:r>
    </w:p>
    <w:p w:rsidR="0038620C" w:rsidRDefault="0038620C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=0,062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γ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sup>
        </m:sSup>
      </m:oMath>
      <w:r w:rsidR="001A39DD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— середній радіус; </w:t>
      </w:r>
    </w:p>
    <w:p w:rsidR="009E4951" w:rsidRPr="006456A4" w:rsidRDefault="0038620C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1A39DD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sym w:font="Symbol Tiger Expert" w:char="F067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A39DD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A39DD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питома вага заряду.</w:t>
      </w:r>
    </w:p>
    <w:p w:rsidR="00AD5F59" w:rsidRDefault="00AD5F59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В ході аналізу пошкоджень будівельних конструкцій, що виникли внасл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док воєнних дій, встановлено, що пошкодження конструкції виникають внасл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док повітряної ударної хвилі, механічних ушкоджень від засобів доставки в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бухових пристроїв, динамічних навантажень.</w:t>
      </w:r>
    </w:p>
    <w:p w:rsidR="00E6623D" w:rsidRPr="00E6623D" w:rsidRDefault="00E6623D" w:rsidP="00D43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3D">
        <w:rPr>
          <w:rFonts w:ascii="Times New Roman" w:hAnsi="Times New Roman" w:cs="Times New Roman"/>
          <w:sz w:val="28"/>
          <w:szCs w:val="28"/>
          <w:lang w:val="uk-UA"/>
        </w:rPr>
        <w:t>Методи діагностики та оцінки пошкоджень будівельних конструкцій вн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>слідок ударних хвиль вибуху включають в себе кілька підходів</w:t>
      </w:r>
      <w:r w:rsidR="004217AF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>ізуальний огляд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D437E7">
        <w:rPr>
          <w:rFonts w:ascii="Times New Roman" w:hAnsi="Times New Roman" w:cs="Times New Roman"/>
          <w:bCs/>
          <w:sz w:val="28"/>
          <w:szCs w:val="28"/>
          <w:lang w:val="uk-UA"/>
        </w:rPr>
        <w:t>имірювання параметрів деформації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37E7">
        <w:rPr>
          <w:rFonts w:ascii="Times New Roman" w:hAnsi="Times New Roman" w:cs="Times New Roman"/>
          <w:bCs/>
          <w:sz w:val="28"/>
          <w:szCs w:val="28"/>
          <w:lang w:val="uk-UA"/>
        </w:rPr>
        <w:t>икористання приладів контролю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37E7">
        <w:rPr>
          <w:rFonts w:ascii="Times New Roman" w:hAnsi="Times New Roman" w:cs="Times New Roman"/>
          <w:bCs/>
          <w:sz w:val="28"/>
          <w:szCs w:val="28"/>
          <w:lang w:val="uk-UA"/>
        </w:rPr>
        <w:t>наліз структурних властивостей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437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7E7" w:rsidRPr="00D437E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437E7">
        <w:rPr>
          <w:rFonts w:ascii="Times New Roman" w:hAnsi="Times New Roman" w:cs="Times New Roman"/>
          <w:bCs/>
          <w:sz w:val="28"/>
          <w:szCs w:val="28"/>
          <w:lang w:val="uk-UA"/>
        </w:rPr>
        <w:t>оделювання та комп'ютерн</w:t>
      </w:r>
      <w:r w:rsidR="00FE4E8D" w:rsidRPr="00D437E7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D437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симуляції</w:t>
      </w:r>
      <w:r w:rsidR="00FE4E8D" w:rsidRPr="00D437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23D" w:rsidRPr="00E6623D" w:rsidRDefault="00E6623D" w:rsidP="00E66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3D">
        <w:rPr>
          <w:rFonts w:ascii="Times New Roman" w:hAnsi="Times New Roman" w:cs="Times New Roman"/>
          <w:sz w:val="28"/>
          <w:szCs w:val="28"/>
          <w:lang w:val="uk-UA"/>
        </w:rPr>
        <w:t>Ці методи дозволяють отримати повний обсяг інформації про пошк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6623D">
        <w:rPr>
          <w:rFonts w:ascii="Times New Roman" w:hAnsi="Times New Roman" w:cs="Times New Roman"/>
          <w:sz w:val="28"/>
          <w:szCs w:val="28"/>
          <w:lang w:val="uk-UA"/>
        </w:rPr>
        <w:t>дження будівельних конструкцій та ефективно визначити їхню ступінь, що є важливим для подальшого вжиття необхідних заходів ремонту та відновлення.</w:t>
      </w:r>
    </w:p>
    <w:p w:rsidR="00AD5F59" w:rsidRPr="006456A4" w:rsidRDefault="00AD5F59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Найбільших пошкоджень внаслідок дії вибухової хвилі зазнають кон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с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трукції зовнішніх стін будівель</w:t>
      </w:r>
      <w:r w:rsidR="000535AB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зовнішніх стінових панелей житлових буди</w:t>
      </w:r>
      <w:r w:rsidR="000535AB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 w:rsidR="000535AB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ків, світлопрозорі конструкції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 що орієнтовані перпендикулярно до фронту п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ширення вибухової хвилі.</w:t>
      </w:r>
    </w:p>
    <w:p w:rsidR="003707AA" w:rsidRPr="006456A4" w:rsidRDefault="003707AA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Слід зазначити, що при віддаленні вибуху від об’єкту, дія ударної хвилі її швидкість та тиск у фронті вибухової хвилі суттєво знижується обернено пр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порційно квадрату відстані від епіцентру вибуху до об’єкта. На великій відстані ударна хвиля вироджується в звукову. </w:t>
      </w:r>
    </w:p>
    <w:p w:rsidR="003707AA" w:rsidRPr="006456A4" w:rsidRDefault="003707AA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Швидкість розповсюдження звукової хвилі нижча за швидкість звуку, але, навіть при швидкості більшій</w:t>
      </w:r>
      <w:r w:rsidR="009047C5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ніж 100 м/с, завдає значних руйнувань сві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т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лопрозорим (вікна) конструкціям, конструкціям покрівель та дахів. </w:t>
      </w:r>
    </w:p>
    <w:p w:rsidR="003707AA" w:rsidRPr="006456A4" w:rsidRDefault="003707AA" w:rsidP="003A263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Ударна хвиля в ґрунті швидко затухає і н</w:t>
      </w:r>
      <w:r w:rsidR="009047C5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е</w:t>
      </w:r>
      <w:r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може розглядатись як фактор ураження. Найбільш швидке затухання ударної хвилі спостерігається в не зв’язаних ґрунтах.</w:t>
      </w:r>
      <w:r w:rsidR="0038620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B0346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Навіть при незначних відстанях вибуху </w:t>
      </w:r>
      <w:r w:rsidR="009E0772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 об’єкту, в межах 6–10 м, конструкції фундаментів будівель майже не зазнають пошкоджень, за </w:t>
      </w:r>
      <w:r w:rsidR="009E0772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винятком випадків безпосереднього влучання засобу ураження у верхню част</w:t>
      </w:r>
      <w:r w:rsidR="009E0772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 w:rsidR="009E0772" w:rsidRPr="006456A4">
        <w:rPr>
          <w:rFonts w:ascii="Times New Roman" w:eastAsiaTheme="minorEastAsia" w:hAnsi="Times New Roman" w:cs="Times New Roman"/>
          <w:sz w:val="28"/>
          <w:szCs w:val="28"/>
          <w:lang w:val="uk-UA"/>
        </w:rPr>
        <w:t>ну фундаменту.</w:t>
      </w:r>
    </w:p>
    <w:p w:rsidR="00214CCC" w:rsidRDefault="00E6623D" w:rsidP="00E6623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6623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Висновки.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422169" w:rsidRDefault="00E6623D" w:rsidP="00E66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A1">
        <w:rPr>
          <w:rFonts w:ascii="Times New Roman" w:hAnsi="Times New Roman" w:cs="Times New Roman"/>
          <w:sz w:val="28"/>
          <w:szCs w:val="28"/>
          <w:lang w:val="uk-UA"/>
        </w:rPr>
        <w:t>Проведено комплексне дослідження впливу ударних хвиль вибуху на рі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номанітні конструкції будівель та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623D" w:rsidRDefault="00E6623D" w:rsidP="00E66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A1">
        <w:rPr>
          <w:rFonts w:ascii="Times New Roman" w:hAnsi="Times New Roman" w:cs="Times New Roman"/>
          <w:sz w:val="28"/>
          <w:szCs w:val="28"/>
          <w:lang w:val="uk-UA"/>
        </w:rPr>
        <w:t>В результаті аналізу виявлено, що ударна хвиля вибуху може спричиняти такі типи пошкоджень, як руйнування стін, розриви конструкційних елементів, зсуви ґрунту тощо, що може призвести до серйозних наслідків для безпеки б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дівель та людей.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23D" w:rsidRDefault="00E6623D" w:rsidP="00E662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A1">
        <w:rPr>
          <w:rFonts w:ascii="Times New Roman" w:hAnsi="Times New Roman" w:cs="Times New Roman"/>
          <w:sz w:val="28"/>
          <w:szCs w:val="28"/>
          <w:lang w:val="uk-UA"/>
        </w:rPr>
        <w:t>Уточнено механізми появи пошкоджень, з'ясовано, що на їхнє формува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ня впливають такі чинники, як сила вибуху, відстань до центру вибуху, хара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94CA1">
        <w:rPr>
          <w:rFonts w:ascii="Times New Roman" w:hAnsi="Times New Roman" w:cs="Times New Roman"/>
          <w:sz w:val="28"/>
          <w:szCs w:val="28"/>
          <w:lang w:val="uk-UA"/>
        </w:rPr>
        <w:t>тер та масштаб будівлі тощо.</w:t>
      </w:r>
    </w:p>
    <w:p w:rsidR="00E6623D" w:rsidRPr="006456A4" w:rsidRDefault="00214CCC" w:rsidP="00E6623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C94CA1">
        <w:rPr>
          <w:rFonts w:ascii="Times New Roman" w:hAnsi="Times New Roman" w:cs="Times New Roman"/>
          <w:sz w:val="28"/>
          <w:szCs w:val="28"/>
          <w:lang w:val="uk-UA" w:eastAsia="ru-RU"/>
        </w:rPr>
        <w:t>Розглянуто методи діагностики та оцінки пошкоджень, що дозволяють ефективно визначити ступінь пошкодження будівельних конструкцій.</w:t>
      </w:r>
    </w:p>
    <w:p w:rsidR="00FE4E8D" w:rsidRDefault="00FE4E8D" w:rsidP="003862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8620C" w:rsidRPr="005144FA" w:rsidRDefault="0038620C" w:rsidP="0038620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144FA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D36492" w:rsidRPr="00DF2D91" w:rsidRDefault="006456A4" w:rsidP="00CC4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8620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1.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Shyshanov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Ма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liuha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Koval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Mirnenko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.М.,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Hannenko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Duzhyi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6492" w:rsidRPr="00DF2D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Influence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air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shock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wave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buildings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en-US"/>
        </w:rPr>
        <w:t>structures</w:t>
      </w:r>
      <w:r w:rsidR="00D36492" w:rsidRPr="00DF2D9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//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Strength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Materials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Theory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Structures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2020, 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number</w:t>
      </w:r>
      <w:r w:rsidR="00D36492" w:rsidRPr="00DF2D9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105. - Київський національний університет будівництва і архітектури, 2020. - С. 179 - 191. </w:t>
      </w:r>
      <w:hyperlink r:id="rId16" w:history="1">
        <w:r w:rsidR="00D36492" w:rsidRPr="00DF2D91">
          <w:rPr>
            <w:rStyle w:val="a8"/>
            <w:rFonts w:ascii="Times New Roman" w:hAnsi="Times New Roman" w:cs="Times New Roman"/>
            <w:sz w:val="24"/>
            <w:szCs w:val="24"/>
          </w:rPr>
          <w:t>DOI</w:t>
        </w:r>
        <w:r w:rsidR="00D36492" w:rsidRPr="00DF2D91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: 10.32347/2410-2547.2020.105.179-191</w:t>
        </w:r>
      </w:hyperlink>
    </w:p>
    <w:p w:rsidR="00D36492" w:rsidRDefault="001E3C84" w:rsidP="00CC4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hyperlink r:id="rId17" w:history="1">
        <w:r w:rsidR="00D36492" w:rsidRPr="00DF2D91">
          <w:rPr>
            <w:rStyle w:val="a8"/>
            <w:rFonts w:ascii="Times New Roman" w:eastAsia="Times New Roman" w:hAnsi="Times New Roman" w:cs="Times New Roman"/>
            <w:bCs/>
            <w:kern w:val="36"/>
            <w:sz w:val="24"/>
            <w:szCs w:val="24"/>
            <w:lang w:val="uk-UA" w:eastAsia="ru-RU"/>
          </w:rPr>
          <w:t>http://opir.knuba.edu.ua/files/zbirnyk-105/16-105_shishanov_.pdf</w:t>
        </w:r>
      </w:hyperlink>
    </w:p>
    <w:p w:rsidR="00D36492" w:rsidRPr="00CC42D5" w:rsidRDefault="00D36492" w:rsidP="00CC42D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2D9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2. </w:t>
      </w:r>
      <w:r w:rsidRPr="00CC42D5">
        <w:rPr>
          <w:rFonts w:ascii="Times New Roman" w:eastAsiaTheme="minorEastAsia" w:hAnsi="Times New Roman" w:cs="Times New Roman"/>
          <w:sz w:val="24"/>
          <w:szCs w:val="24"/>
        </w:rPr>
        <w:t>Динамический расчет сооружений на специальные воздействия. Справочник прое</w:t>
      </w:r>
      <w:r w:rsidRPr="00CC42D5">
        <w:rPr>
          <w:rFonts w:ascii="Times New Roman" w:eastAsiaTheme="minorEastAsia" w:hAnsi="Times New Roman" w:cs="Times New Roman"/>
          <w:sz w:val="24"/>
          <w:szCs w:val="24"/>
        </w:rPr>
        <w:t>к</w:t>
      </w:r>
      <w:r w:rsidRPr="00CC42D5">
        <w:rPr>
          <w:rFonts w:ascii="Times New Roman" w:eastAsiaTheme="minorEastAsia" w:hAnsi="Times New Roman" w:cs="Times New Roman"/>
          <w:sz w:val="24"/>
          <w:szCs w:val="24"/>
        </w:rPr>
        <w:t xml:space="preserve">тировщика. –М: Стройиздат, 1981. </w:t>
      </w:r>
    </w:p>
    <w:p w:rsidR="00D36492" w:rsidRDefault="00D36492" w:rsidP="00CC42D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CC42D5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6456A4" w:rsidRPr="00CC42D5">
        <w:rPr>
          <w:rFonts w:ascii="Times New Roman" w:eastAsiaTheme="minorEastAsia" w:hAnsi="Times New Roman" w:cs="Times New Roman"/>
          <w:sz w:val="24"/>
          <w:szCs w:val="24"/>
        </w:rPr>
        <w:t>Безухов Н.М., Лужин О.В. Устойчивость и динамика сооружений в примерах и з</w:t>
      </w:r>
      <w:r w:rsidR="006456A4" w:rsidRPr="00CC42D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6456A4" w:rsidRPr="00CC42D5">
        <w:rPr>
          <w:rFonts w:ascii="Times New Roman" w:eastAsiaTheme="minorEastAsia" w:hAnsi="Times New Roman" w:cs="Times New Roman"/>
          <w:sz w:val="24"/>
          <w:szCs w:val="24"/>
        </w:rPr>
        <w:t>дачах. –М.: Высшая школа, 1987.</w:t>
      </w:r>
    </w:p>
    <w:p w:rsidR="00395A8E" w:rsidRDefault="00CC42D5" w:rsidP="00CC42D5">
      <w:pPr>
        <w:pStyle w:val="ad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C42D5">
        <w:rPr>
          <w:rFonts w:ascii="Times New Roman" w:eastAsiaTheme="minorEastAsia" w:hAnsi="Times New Roman" w:cs="Times New Roman"/>
          <w:sz w:val="24"/>
          <w:szCs w:val="24"/>
          <w:lang w:val="uk-UA"/>
        </w:rPr>
        <w:t>4. Васильченко О.В. Будівельні конструкції та їх поведінка в умовах надзвичайних с</w:t>
      </w:r>
      <w:r w:rsidRPr="00CC42D5">
        <w:rPr>
          <w:rFonts w:ascii="Times New Roman" w:eastAsiaTheme="minorEastAsia" w:hAnsi="Times New Roman" w:cs="Times New Roman"/>
          <w:sz w:val="24"/>
          <w:szCs w:val="24"/>
          <w:lang w:val="uk-UA"/>
        </w:rPr>
        <w:t>и</w:t>
      </w:r>
      <w:r w:rsidRPr="00CC42D5">
        <w:rPr>
          <w:rFonts w:ascii="Times New Roman" w:eastAsiaTheme="minorEastAsia" w:hAnsi="Times New Roman" w:cs="Times New Roman"/>
          <w:sz w:val="24"/>
          <w:szCs w:val="24"/>
          <w:lang w:val="uk-UA"/>
        </w:rPr>
        <w:t>туацій: Навчальний посібник / О.В. Васильченко, Ю.В. Квітковський, О.В. Миргород, О.А. Стельмах. – Харків: ХНАДУ, 2015. – 488 с.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CC42D5">
        <w:rPr>
          <w:rFonts w:ascii="Times New Roman" w:eastAsiaTheme="minorEastAsia" w:hAnsi="Times New Roman" w:cs="Times New Roman"/>
          <w:sz w:val="24"/>
          <w:szCs w:val="24"/>
          <w:lang w:val="uk-UA"/>
        </w:rPr>
        <w:t>ISBN 978-966-303-586-4</w:t>
      </w:r>
      <w:r w:rsidRPr="00CC42D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8" w:history="1">
        <w:r w:rsidRPr="00CC42D5">
          <w:rPr>
            <w:rStyle w:val="a8"/>
            <w:rFonts w:ascii="Times New Roman" w:hAnsi="Times New Roman" w:cs="Times New Roman"/>
            <w:sz w:val="28"/>
            <w:szCs w:val="28"/>
            <w:lang w:val="uk-UA" w:eastAsia="ru-RU"/>
          </w:rPr>
          <w:t>http://repositsc.nuczu.edu.ua/bitstream/123456789/17197/1/Будівельні%20конструкції%20в%20умовах%20НС.pdf</w:t>
        </w:r>
      </w:hyperlink>
    </w:p>
    <w:p w:rsidR="00CC42D5" w:rsidRPr="00214CCC" w:rsidRDefault="00CC42D5" w:rsidP="00214CCC">
      <w:pPr>
        <w:pStyle w:val="ad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CC42D5" w:rsidRPr="00214CCC" w:rsidSect="00395A8E">
      <w:headerReference w:type="first" r:id="rId19"/>
      <w:footerReference w:type="first" r:id="rId20"/>
      <w:pgSz w:w="11906" w:h="16838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332" w:rsidRDefault="00794332" w:rsidP="00C6603C">
      <w:pPr>
        <w:spacing w:after="0" w:line="240" w:lineRule="auto"/>
      </w:pPr>
      <w:r>
        <w:separator/>
      </w:r>
    </w:p>
  </w:endnote>
  <w:endnote w:type="continuationSeparator" w:id="1">
    <w:p w:rsidR="00794332" w:rsidRDefault="00794332" w:rsidP="00C6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A1" w:rsidRDefault="00C94CA1">
    <w:pPr>
      <w:pStyle w:val="a6"/>
    </w:pPr>
    <w:r>
      <w:rPr>
        <w:lang w:val="uk-UA"/>
      </w:rPr>
      <w:t>1</w:t>
    </w:r>
  </w:p>
  <w:p w:rsidR="00C94CA1" w:rsidRDefault="00C94C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332" w:rsidRDefault="00794332" w:rsidP="00C6603C">
      <w:pPr>
        <w:spacing w:after="0" w:line="240" w:lineRule="auto"/>
      </w:pPr>
      <w:r>
        <w:separator/>
      </w:r>
    </w:p>
  </w:footnote>
  <w:footnote w:type="continuationSeparator" w:id="1">
    <w:p w:rsidR="00794332" w:rsidRDefault="00794332" w:rsidP="00C6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315505"/>
      <w:docPartObj>
        <w:docPartGallery w:val="Page Numbers (Top of Page)"/>
        <w:docPartUnique/>
      </w:docPartObj>
    </w:sdtPr>
    <w:sdtContent>
      <w:p w:rsidR="00C94CA1" w:rsidRDefault="001E3C84">
        <w:pPr>
          <w:pStyle w:val="a4"/>
        </w:pPr>
        <w:fldSimple w:instr="PAGE   \* MERGEFORMAT">
          <w:r w:rsidR="00C94CA1">
            <w:rPr>
              <w:noProof/>
            </w:rPr>
            <w:t>1</w:t>
          </w:r>
        </w:fldSimple>
      </w:p>
    </w:sdtContent>
  </w:sdt>
  <w:p w:rsidR="00C94CA1" w:rsidRDefault="00C94C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7DD8"/>
    <w:multiLevelType w:val="multilevel"/>
    <w:tmpl w:val="3EA48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0A001A8"/>
    <w:multiLevelType w:val="multilevel"/>
    <w:tmpl w:val="781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E3515"/>
    <w:multiLevelType w:val="hybridMultilevel"/>
    <w:tmpl w:val="3D54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C3C2B"/>
    <w:multiLevelType w:val="multilevel"/>
    <w:tmpl w:val="E348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B6380"/>
    <w:multiLevelType w:val="multilevel"/>
    <w:tmpl w:val="F01E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80CC8"/>
    <w:multiLevelType w:val="hybridMultilevel"/>
    <w:tmpl w:val="EB4E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5230"/>
    <w:rsid w:val="00022351"/>
    <w:rsid w:val="00030915"/>
    <w:rsid w:val="000535AB"/>
    <w:rsid w:val="00080CA4"/>
    <w:rsid w:val="0008415A"/>
    <w:rsid w:val="000906DB"/>
    <w:rsid w:val="000C138C"/>
    <w:rsid w:val="00107464"/>
    <w:rsid w:val="001335BF"/>
    <w:rsid w:val="001A39DD"/>
    <w:rsid w:val="001B5E5B"/>
    <w:rsid w:val="001E3C84"/>
    <w:rsid w:val="00214CCC"/>
    <w:rsid w:val="0023316C"/>
    <w:rsid w:val="00252BAA"/>
    <w:rsid w:val="00281E1A"/>
    <w:rsid w:val="00293BCF"/>
    <w:rsid w:val="003707AA"/>
    <w:rsid w:val="0038608A"/>
    <w:rsid w:val="0038620C"/>
    <w:rsid w:val="00395A8E"/>
    <w:rsid w:val="003A2632"/>
    <w:rsid w:val="003C6C69"/>
    <w:rsid w:val="004217AF"/>
    <w:rsid w:val="00422169"/>
    <w:rsid w:val="005238FF"/>
    <w:rsid w:val="00597B96"/>
    <w:rsid w:val="005F10FB"/>
    <w:rsid w:val="005F540D"/>
    <w:rsid w:val="006067B9"/>
    <w:rsid w:val="006456A4"/>
    <w:rsid w:val="007232EA"/>
    <w:rsid w:val="007326DF"/>
    <w:rsid w:val="00787ADF"/>
    <w:rsid w:val="00794332"/>
    <w:rsid w:val="007E730C"/>
    <w:rsid w:val="007F2E6D"/>
    <w:rsid w:val="0080578A"/>
    <w:rsid w:val="00833DBB"/>
    <w:rsid w:val="008A7690"/>
    <w:rsid w:val="008B17C4"/>
    <w:rsid w:val="008F3297"/>
    <w:rsid w:val="009047C5"/>
    <w:rsid w:val="00956778"/>
    <w:rsid w:val="009820B5"/>
    <w:rsid w:val="009B0346"/>
    <w:rsid w:val="009E0772"/>
    <w:rsid w:val="009E4951"/>
    <w:rsid w:val="00A402F3"/>
    <w:rsid w:val="00A4382C"/>
    <w:rsid w:val="00AC776C"/>
    <w:rsid w:val="00AD5F59"/>
    <w:rsid w:val="00AD69A5"/>
    <w:rsid w:val="00AD75D7"/>
    <w:rsid w:val="00B83856"/>
    <w:rsid w:val="00B95230"/>
    <w:rsid w:val="00C1540E"/>
    <w:rsid w:val="00C26407"/>
    <w:rsid w:val="00C65645"/>
    <w:rsid w:val="00C6603C"/>
    <w:rsid w:val="00C90C46"/>
    <w:rsid w:val="00C94CA1"/>
    <w:rsid w:val="00CB36E7"/>
    <w:rsid w:val="00CC42D5"/>
    <w:rsid w:val="00CD045D"/>
    <w:rsid w:val="00D15047"/>
    <w:rsid w:val="00D35FAC"/>
    <w:rsid w:val="00D36492"/>
    <w:rsid w:val="00D437E7"/>
    <w:rsid w:val="00D45621"/>
    <w:rsid w:val="00D7012E"/>
    <w:rsid w:val="00D95504"/>
    <w:rsid w:val="00DC0BE4"/>
    <w:rsid w:val="00DF2D91"/>
    <w:rsid w:val="00E3096C"/>
    <w:rsid w:val="00E331C1"/>
    <w:rsid w:val="00E35F80"/>
    <w:rsid w:val="00E403D0"/>
    <w:rsid w:val="00E4455B"/>
    <w:rsid w:val="00E477EA"/>
    <w:rsid w:val="00E526E3"/>
    <w:rsid w:val="00E6623D"/>
    <w:rsid w:val="00F85411"/>
    <w:rsid w:val="00FD6FA8"/>
    <w:rsid w:val="00FD756B"/>
    <w:rsid w:val="00FE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2"/>
  </w:style>
  <w:style w:type="paragraph" w:styleId="1">
    <w:name w:val="heading 1"/>
    <w:basedOn w:val="a"/>
    <w:link w:val="10"/>
    <w:uiPriority w:val="9"/>
    <w:qFormat/>
    <w:rsid w:val="00395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856"/>
    <w:rPr>
      <w:color w:val="808080"/>
    </w:rPr>
  </w:style>
  <w:style w:type="paragraph" w:styleId="a4">
    <w:name w:val="header"/>
    <w:basedOn w:val="a"/>
    <w:link w:val="a5"/>
    <w:uiPriority w:val="99"/>
    <w:unhideWhenUsed/>
    <w:rsid w:val="00C6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03C"/>
  </w:style>
  <w:style w:type="paragraph" w:styleId="a6">
    <w:name w:val="footer"/>
    <w:basedOn w:val="a"/>
    <w:link w:val="a7"/>
    <w:uiPriority w:val="99"/>
    <w:unhideWhenUsed/>
    <w:rsid w:val="00C66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03C"/>
  </w:style>
  <w:style w:type="character" w:styleId="a8">
    <w:name w:val="Hyperlink"/>
    <w:basedOn w:val="a0"/>
    <w:uiPriority w:val="99"/>
    <w:unhideWhenUsed/>
    <w:rsid w:val="005F54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3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395A8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9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94CA1"/>
    <w:pPr>
      <w:ind w:left="720"/>
      <w:contextualSpacing/>
    </w:pPr>
  </w:style>
  <w:style w:type="character" w:styleId="ae">
    <w:name w:val="Strong"/>
    <w:basedOn w:val="a0"/>
    <w:uiPriority w:val="22"/>
    <w:qFormat/>
    <w:rsid w:val="00E66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492-386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repositsc.nuczu.edu.ua/bitstream/123456789/17197/1/&#1041;&#1091;&#1076;&#1110;&#1074;&#1077;&#1083;&#1100;&#1085;&#1110;%20&#1082;&#1086;&#1085;&#1089;&#1090;&#1088;&#1091;&#1082;&#1094;&#1110;&#1111;%20&#1074;%20&#1091;&#1084;&#1086;&#1074;&#1072;&#1093;%20&#1053;&#1057;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9-0003-9151-979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opir.knuba.edu.ua/files/zbirnyk-105/16-105_shishanov_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mtc.knuba.edu.ua/article/view/22656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234-1558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4</cp:revision>
  <dcterms:created xsi:type="dcterms:W3CDTF">2024-05-14T10:32:00Z</dcterms:created>
  <dcterms:modified xsi:type="dcterms:W3CDTF">2024-05-14T10:38:00Z</dcterms:modified>
</cp:coreProperties>
</file>